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30E3" w14:textId="77777777" w:rsidR="002D3FFE" w:rsidRPr="00EE4A45" w:rsidRDefault="002D3FFE" w:rsidP="0006275C">
      <w:pPr>
        <w:jc w:val="both"/>
        <w:rPr>
          <w:i/>
          <w:iCs/>
        </w:rPr>
      </w:pPr>
    </w:p>
    <w:p w14:paraId="061F5068" w14:textId="77777777" w:rsidR="002D3FFE" w:rsidRDefault="002D3FFE" w:rsidP="0006275C">
      <w:pPr>
        <w:jc w:val="both"/>
      </w:pPr>
    </w:p>
    <w:p w14:paraId="7A5C5462" w14:textId="08D1ED68" w:rsidR="002D3FFE" w:rsidRPr="009520C8" w:rsidRDefault="002D3FFE" w:rsidP="0006275C">
      <w:pPr>
        <w:jc w:val="both"/>
      </w:pPr>
    </w:p>
    <w:p w14:paraId="431E330E" w14:textId="77777777" w:rsidR="002D3FFE" w:rsidRPr="009520C8" w:rsidRDefault="002D3FFE" w:rsidP="0006275C">
      <w:pPr>
        <w:jc w:val="both"/>
      </w:pPr>
    </w:p>
    <w:p w14:paraId="789978DF" w14:textId="77777777" w:rsidR="002D3FFE" w:rsidRDefault="002D3FFE" w:rsidP="0006275C">
      <w:pPr>
        <w:jc w:val="both"/>
      </w:pPr>
    </w:p>
    <w:p w14:paraId="32BF0C95" w14:textId="77777777" w:rsidR="002D3FFE" w:rsidRPr="009520C8" w:rsidRDefault="002D3FFE" w:rsidP="00B97600">
      <w:pPr>
        <w:jc w:val="center"/>
      </w:pPr>
    </w:p>
    <w:p w14:paraId="6652767C" w14:textId="77777777" w:rsidR="002D3FFE" w:rsidRPr="001F5FB9" w:rsidRDefault="002D3FFE" w:rsidP="00B97600">
      <w:pPr>
        <w:ind w:left="720"/>
        <w:jc w:val="center"/>
        <w:rPr>
          <w:color w:val="5B9BD5"/>
          <w:sz w:val="44"/>
          <w:szCs w:val="44"/>
        </w:rPr>
      </w:pPr>
      <w:r w:rsidRPr="001F5FB9">
        <w:rPr>
          <w:color w:val="5B9BD5"/>
          <w:sz w:val="44"/>
          <w:szCs w:val="44"/>
        </w:rPr>
        <w:t>Cambridge &amp; Counties Bank Limited</w:t>
      </w:r>
    </w:p>
    <w:p w14:paraId="04986265" w14:textId="77777777" w:rsidR="002D3FFE" w:rsidRPr="001F5FB9" w:rsidRDefault="002D3FFE" w:rsidP="00B97600">
      <w:pPr>
        <w:jc w:val="center"/>
        <w:rPr>
          <w:color w:val="5B9BD5"/>
          <w:sz w:val="36"/>
          <w:szCs w:val="36"/>
        </w:rPr>
      </w:pPr>
    </w:p>
    <w:p w14:paraId="2F04A385" w14:textId="77777777" w:rsidR="00B97600" w:rsidRDefault="00B97600" w:rsidP="00B97600">
      <w:pPr>
        <w:tabs>
          <w:tab w:val="center" w:pos="4513"/>
          <w:tab w:val="left" w:pos="7275"/>
        </w:tabs>
        <w:spacing w:line="360" w:lineRule="auto"/>
        <w:jc w:val="center"/>
        <w:rPr>
          <w:color w:val="5B9BD5"/>
          <w:sz w:val="36"/>
          <w:szCs w:val="36"/>
        </w:rPr>
      </w:pPr>
      <w:bookmarkStart w:id="0" w:name="_Toc448838063"/>
      <w:bookmarkStart w:id="1" w:name="_Toc448910850"/>
      <w:bookmarkStart w:id="2" w:name="_Toc453142509"/>
    </w:p>
    <w:p w14:paraId="65036D05" w14:textId="1214476C" w:rsidR="002D3FFE" w:rsidRPr="001F5FB9" w:rsidRDefault="002D3FFE" w:rsidP="00B97600">
      <w:pPr>
        <w:tabs>
          <w:tab w:val="center" w:pos="4513"/>
          <w:tab w:val="left" w:pos="7275"/>
        </w:tabs>
        <w:spacing w:line="360" w:lineRule="auto"/>
        <w:jc w:val="center"/>
        <w:rPr>
          <w:color w:val="5B9BD5"/>
          <w:sz w:val="36"/>
          <w:szCs w:val="36"/>
        </w:rPr>
      </w:pPr>
      <w:r w:rsidRPr="001F5FB9">
        <w:rPr>
          <w:color w:val="5B9BD5"/>
          <w:sz w:val="36"/>
          <w:szCs w:val="36"/>
        </w:rPr>
        <w:t>Pillar 3 Disclosures</w:t>
      </w:r>
      <w:bookmarkEnd w:id="0"/>
      <w:bookmarkEnd w:id="1"/>
      <w:bookmarkEnd w:id="2"/>
    </w:p>
    <w:p w14:paraId="695C396F" w14:textId="77777777" w:rsidR="00B97600" w:rsidRDefault="00B97600" w:rsidP="00B97600">
      <w:pPr>
        <w:spacing w:line="360" w:lineRule="auto"/>
        <w:jc w:val="center"/>
        <w:rPr>
          <w:color w:val="5B9BD5"/>
          <w:sz w:val="36"/>
          <w:szCs w:val="36"/>
        </w:rPr>
      </w:pPr>
      <w:bookmarkStart w:id="3" w:name="_Toc448838064"/>
      <w:bookmarkStart w:id="4" w:name="_Toc448910851"/>
      <w:bookmarkStart w:id="5" w:name="_Toc453142510"/>
    </w:p>
    <w:p w14:paraId="4F7A38B9" w14:textId="5A33C3B3" w:rsidR="002D3FFE" w:rsidRPr="001F5FB9" w:rsidRDefault="002D3FFE" w:rsidP="00B97600">
      <w:pPr>
        <w:spacing w:line="360" w:lineRule="auto"/>
        <w:jc w:val="center"/>
        <w:rPr>
          <w:color w:val="5B9BD5"/>
          <w:sz w:val="36"/>
          <w:szCs w:val="36"/>
        </w:rPr>
      </w:pPr>
      <w:r w:rsidRPr="001F5FB9">
        <w:rPr>
          <w:color w:val="5B9BD5"/>
          <w:sz w:val="36"/>
          <w:szCs w:val="36"/>
        </w:rPr>
        <w:t>31 December 202</w:t>
      </w:r>
      <w:bookmarkEnd w:id="3"/>
      <w:bookmarkEnd w:id="4"/>
      <w:bookmarkEnd w:id="5"/>
      <w:r w:rsidR="009B684A">
        <w:rPr>
          <w:color w:val="5B9BD5"/>
          <w:sz w:val="36"/>
          <w:szCs w:val="36"/>
        </w:rPr>
        <w:t>3</w:t>
      </w:r>
    </w:p>
    <w:p w14:paraId="1EDEFE3B" w14:textId="77777777" w:rsidR="002D3FFE" w:rsidRPr="009520C8" w:rsidRDefault="002D3FFE" w:rsidP="0006275C">
      <w:pPr>
        <w:spacing w:line="360" w:lineRule="auto"/>
        <w:jc w:val="both"/>
      </w:pPr>
    </w:p>
    <w:p w14:paraId="6BCBDBEC" w14:textId="77777777" w:rsidR="002D3FFE" w:rsidRPr="009520C8" w:rsidRDefault="002D3FFE" w:rsidP="0006275C">
      <w:pPr>
        <w:spacing w:line="360" w:lineRule="auto"/>
        <w:jc w:val="both"/>
      </w:pPr>
    </w:p>
    <w:p w14:paraId="06C0D94F" w14:textId="77777777" w:rsidR="002D3FFE" w:rsidRPr="009520C8" w:rsidRDefault="002D3FFE" w:rsidP="0006275C">
      <w:pPr>
        <w:jc w:val="both"/>
        <w:rPr>
          <w:color w:val="548DD4"/>
        </w:rPr>
      </w:pPr>
    </w:p>
    <w:p w14:paraId="2F5D66D2" w14:textId="77777777" w:rsidR="002D3FFE" w:rsidRPr="009520C8" w:rsidRDefault="002D3FFE" w:rsidP="0006275C">
      <w:pPr>
        <w:jc w:val="both"/>
        <w:rPr>
          <w:color w:val="548DD4"/>
        </w:rPr>
      </w:pPr>
    </w:p>
    <w:p w14:paraId="2D3E45D4" w14:textId="77777777" w:rsidR="002D3FFE" w:rsidRPr="009520C8" w:rsidRDefault="002D3FFE" w:rsidP="0006275C">
      <w:pPr>
        <w:jc w:val="both"/>
        <w:rPr>
          <w:color w:val="548DD4"/>
        </w:rPr>
      </w:pPr>
    </w:p>
    <w:p w14:paraId="4909B10E" w14:textId="77777777" w:rsidR="002D3FFE" w:rsidRPr="009520C8" w:rsidRDefault="002D3FFE" w:rsidP="0006275C">
      <w:pPr>
        <w:jc w:val="both"/>
        <w:rPr>
          <w:color w:val="548DD4"/>
        </w:rPr>
      </w:pPr>
    </w:p>
    <w:p w14:paraId="13DA342A" w14:textId="77777777" w:rsidR="002D3FFE" w:rsidRPr="009520C8" w:rsidRDefault="002D3FFE" w:rsidP="0006275C">
      <w:pPr>
        <w:jc w:val="both"/>
        <w:rPr>
          <w:color w:val="548DD4"/>
        </w:rPr>
      </w:pPr>
    </w:p>
    <w:p w14:paraId="350FED13" w14:textId="77777777" w:rsidR="002D3FFE" w:rsidRPr="009520C8" w:rsidRDefault="002D3FFE" w:rsidP="0006275C">
      <w:pPr>
        <w:jc w:val="both"/>
        <w:rPr>
          <w:color w:val="548DD4"/>
        </w:rPr>
      </w:pPr>
    </w:p>
    <w:p w14:paraId="3F06C61F" w14:textId="77777777" w:rsidR="002D3FFE" w:rsidRPr="009520C8" w:rsidRDefault="002D3FFE" w:rsidP="0006275C">
      <w:pPr>
        <w:jc w:val="both"/>
        <w:rPr>
          <w:color w:val="548DD4"/>
        </w:rPr>
      </w:pPr>
    </w:p>
    <w:p w14:paraId="01EB7366" w14:textId="77777777" w:rsidR="002D3FFE" w:rsidRPr="009520C8" w:rsidRDefault="002D3FFE" w:rsidP="0006275C">
      <w:pPr>
        <w:jc w:val="both"/>
        <w:rPr>
          <w:color w:val="548DD4"/>
        </w:rPr>
      </w:pPr>
    </w:p>
    <w:p w14:paraId="40B6C541" w14:textId="77777777" w:rsidR="002D3FFE" w:rsidRPr="009520C8" w:rsidRDefault="002D3FFE" w:rsidP="0006275C">
      <w:pPr>
        <w:jc w:val="both"/>
        <w:rPr>
          <w:color w:val="548DD4"/>
        </w:rPr>
      </w:pPr>
    </w:p>
    <w:p w14:paraId="3EBA271B" w14:textId="77777777" w:rsidR="002D3FFE" w:rsidRPr="009520C8" w:rsidRDefault="002D3FFE" w:rsidP="0006275C">
      <w:pPr>
        <w:jc w:val="both"/>
        <w:rPr>
          <w:color w:val="548DD4"/>
        </w:rPr>
      </w:pPr>
    </w:p>
    <w:p w14:paraId="067B1526" w14:textId="77777777" w:rsidR="002D3FFE" w:rsidRPr="009520C8" w:rsidRDefault="002D3FFE" w:rsidP="0006275C">
      <w:pPr>
        <w:jc w:val="both"/>
        <w:rPr>
          <w:color w:val="548DD4"/>
        </w:rPr>
      </w:pPr>
    </w:p>
    <w:p w14:paraId="3AE6FA38" w14:textId="77777777" w:rsidR="002D3FFE" w:rsidRPr="009520C8" w:rsidRDefault="002D3FFE" w:rsidP="0006275C">
      <w:pPr>
        <w:jc w:val="both"/>
        <w:rPr>
          <w:color w:val="548DD4"/>
        </w:rPr>
      </w:pPr>
    </w:p>
    <w:p w14:paraId="4A19FEA6" w14:textId="77777777" w:rsidR="002D3FFE" w:rsidRPr="009520C8" w:rsidRDefault="002D3FFE" w:rsidP="0006275C">
      <w:pPr>
        <w:jc w:val="both"/>
        <w:rPr>
          <w:color w:val="548DD4"/>
        </w:rPr>
      </w:pPr>
    </w:p>
    <w:p w14:paraId="624B0B02" w14:textId="77777777" w:rsidR="002D3FFE" w:rsidRPr="009520C8" w:rsidRDefault="002D3FFE" w:rsidP="0006275C">
      <w:pPr>
        <w:jc w:val="both"/>
        <w:rPr>
          <w:color w:val="548DD4"/>
        </w:rPr>
      </w:pPr>
    </w:p>
    <w:p w14:paraId="73F22A5C" w14:textId="77777777" w:rsidR="002D3FFE" w:rsidRPr="009520C8" w:rsidRDefault="002D3FFE" w:rsidP="0006275C">
      <w:pPr>
        <w:jc w:val="both"/>
        <w:rPr>
          <w:color w:val="548DD4"/>
        </w:rPr>
      </w:pPr>
    </w:p>
    <w:p w14:paraId="2C4FF513" w14:textId="77777777" w:rsidR="002D3FFE" w:rsidRPr="009520C8" w:rsidRDefault="002D3FFE" w:rsidP="0006275C">
      <w:pPr>
        <w:jc w:val="both"/>
        <w:rPr>
          <w:color w:val="548DD4"/>
        </w:rPr>
      </w:pPr>
    </w:p>
    <w:p w14:paraId="127991E0" w14:textId="77777777" w:rsidR="002D3FFE" w:rsidRPr="009520C8" w:rsidRDefault="002D3FFE" w:rsidP="0006275C">
      <w:pPr>
        <w:jc w:val="both"/>
        <w:rPr>
          <w:color w:val="548DD4"/>
        </w:rPr>
      </w:pPr>
    </w:p>
    <w:p w14:paraId="5CDE0C26" w14:textId="77777777" w:rsidR="002D3FFE" w:rsidRPr="009520C8" w:rsidRDefault="002D3FFE" w:rsidP="0006275C">
      <w:pPr>
        <w:jc w:val="both"/>
        <w:rPr>
          <w:color w:val="548DD4"/>
        </w:rPr>
      </w:pPr>
    </w:p>
    <w:p w14:paraId="4D84FC79" w14:textId="77777777" w:rsidR="002D3FFE" w:rsidRPr="009520C8" w:rsidRDefault="002D3FFE" w:rsidP="0006275C">
      <w:pPr>
        <w:jc w:val="both"/>
        <w:rPr>
          <w:color w:val="548DD4"/>
        </w:rPr>
      </w:pPr>
    </w:p>
    <w:p w14:paraId="01D692AA" w14:textId="77777777" w:rsidR="002D3FFE" w:rsidRPr="009520C8" w:rsidRDefault="002D3FFE" w:rsidP="0006275C">
      <w:pPr>
        <w:jc w:val="both"/>
        <w:rPr>
          <w:color w:val="548DD4"/>
        </w:rPr>
      </w:pPr>
    </w:p>
    <w:p w14:paraId="1FC53C08" w14:textId="77777777" w:rsidR="002D3FFE" w:rsidRPr="009520C8" w:rsidRDefault="002D3FFE" w:rsidP="0006275C">
      <w:pPr>
        <w:jc w:val="both"/>
        <w:rPr>
          <w:color w:val="548DD4"/>
        </w:rPr>
      </w:pPr>
    </w:p>
    <w:p w14:paraId="6C9CC231" w14:textId="77777777" w:rsidR="002D3FFE" w:rsidRPr="009520C8" w:rsidRDefault="002D3FFE" w:rsidP="0006275C">
      <w:pPr>
        <w:jc w:val="both"/>
        <w:rPr>
          <w:color w:val="548DD4"/>
        </w:rPr>
      </w:pPr>
    </w:p>
    <w:p w14:paraId="54D2C6FD" w14:textId="77777777" w:rsidR="002D3FFE" w:rsidRPr="009520C8" w:rsidRDefault="002D3FFE" w:rsidP="0006275C">
      <w:pPr>
        <w:jc w:val="both"/>
        <w:rPr>
          <w:color w:val="548DD4"/>
        </w:rPr>
      </w:pPr>
    </w:p>
    <w:p w14:paraId="3528B50C" w14:textId="77777777" w:rsidR="002D3FFE" w:rsidRPr="009520C8" w:rsidRDefault="002D3FFE" w:rsidP="0006275C">
      <w:pPr>
        <w:ind w:left="4962"/>
        <w:jc w:val="both"/>
        <w:rPr>
          <w:color w:val="548DD4"/>
        </w:rPr>
      </w:pPr>
      <w:r w:rsidRPr="009520C8">
        <w:rPr>
          <w:noProof/>
        </w:rPr>
        <w:drawing>
          <wp:inline distT="0" distB="0" distL="0" distR="0" wp14:anchorId="0F8A3615" wp14:editId="44496D5D">
            <wp:extent cx="11189867" cy="120497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3067" cy="1212852"/>
                    </a:xfrm>
                    <a:prstGeom prst="rect">
                      <a:avLst/>
                    </a:prstGeom>
                    <a:noFill/>
                    <a:ln>
                      <a:noFill/>
                    </a:ln>
                  </pic:spPr>
                </pic:pic>
              </a:graphicData>
            </a:graphic>
          </wp:inline>
        </w:drawing>
      </w:r>
    </w:p>
    <w:p w14:paraId="75B65EBB" w14:textId="77777777" w:rsidR="002D3FFE" w:rsidRPr="009520C8" w:rsidRDefault="002D3FFE" w:rsidP="0006275C">
      <w:pPr>
        <w:jc w:val="both"/>
        <w:rPr>
          <w:color w:val="548DD4"/>
        </w:rPr>
      </w:pPr>
    </w:p>
    <w:p w14:paraId="705D0FCF" w14:textId="77777777" w:rsidR="002D3FFE" w:rsidRPr="009520C8" w:rsidRDefault="002D3FFE" w:rsidP="0006275C">
      <w:pPr>
        <w:ind w:left="1134"/>
        <w:jc w:val="both"/>
        <w:sectPr w:rsidR="002D3FFE" w:rsidRPr="009520C8" w:rsidSect="00572C82">
          <w:footerReference w:type="default" r:id="rId9"/>
          <w:pgSz w:w="11906" w:h="16838"/>
          <w:pgMar w:top="1440" w:right="1440" w:bottom="1440" w:left="1440" w:header="708" w:footer="708" w:gutter="0"/>
          <w:cols w:space="708"/>
          <w:docGrid w:linePitch="360"/>
        </w:sectPr>
      </w:pPr>
    </w:p>
    <w:p w14:paraId="3D347D59" w14:textId="77777777" w:rsidR="002D3FFE" w:rsidRPr="009520C8" w:rsidRDefault="002D3FFE" w:rsidP="0006275C">
      <w:pPr>
        <w:jc w:val="both"/>
      </w:pPr>
    </w:p>
    <w:bookmarkStart w:id="6" w:name="_Toc166676696" w:displacedByCustomXml="next"/>
    <w:sdt>
      <w:sdtPr>
        <w:rPr>
          <w:b w:val="0"/>
          <w:bCs w:val="0"/>
          <w:color w:val="5B9BD5"/>
          <w:sz w:val="20"/>
          <w:szCs w:val="20"/>
        </w:rPr>
        <w:id w:val="1903716248"/>
        <w:docPartObj>
          <w:docPartGallery w:val="Table of Contents"/>
          <w:docPartUnique/>
        </w:docPartObj>
      </w:sdtPr>
      <w:sdtEndPr>
        <w:rPr>
          <w:noProof/>
          <w:color w:val="auto"/>
        </w:rPr>
      </w:sdtEndPr>
      <w:sdtContent>
        <w:p w14:paraId="21B990A2" w14:textId="77777777" w:rsidR="002D3FFE" w:rsidRPr="00C33C41" w:rsidRDefault="002D3FFE" w:rsidP="00C33C41">
          <w:pPr>
            <w:pStyle w:val="Heading1"/>
            <w:jc w:val="both"/>
            <w:rPr>
              <w:color w:val="5B9BD5"/>
            </w:rPr>
          </w:pPr>
          <w:r w:rsidRPr="00C33C41">
            <w:rPr>
              <w:color w:val="5B9BD5"/>
            </w:rPr>
            <w:t>Contents</w:t>
          </w:r>
          <w:bookmarkEnd w:id="6"/>
        </w:p>
        <w:p w14:paraId="410438B1" w14:textId="705BC5A2" w:rsidR="002769E0" w:rsidRDefault="002D3FFE">
          <w:pPr>
            <w:pStyle w:val="TOC1"/>
            <w:tabs>
              <w:tab w:val="right" w:leader="dot" w:pos="9016"/>
            </w:tabs>
            <w:rPr>
              <w:rFonts w:eastAsiaTheme="minorEastAsia" w:cstheme="minorBidi"/>
              <w:b w:val="0"/>
              <w:bCs w:val="0"/>
              <w:caps w:val="0"/>
              <w:noProof/>
              <w:kern w:val="2"/>
              <w:sz w:val="22"/>
              <w:szCs w:val="22"/>
              <w14:ligatures w14:val="standardContextual"/>
            </w:rPr>
          </w:pPr>
          <w:r w:rsidRPr="00645ED9">
            <w:rPr>
              <w:rFonts w:ascii="Museo Sans 300" w:hAnsi="Museo Sans 300"/>
              <w:b w:val="0"/>
              <w:bCs w:val="0"/>
            </w:rPr>
            <w:fldChar w:fldCharType="begin"/>
          </w:r>
          <w:r w:rsidRPr="00645ED9">
            <w:rPr>
              <w:rFonts w:ascii="Museo Sans 300" w:hAnsi="Museo Sans 300"/>
              <w:b w:val="0"/>
              <w:bCs w:val="0"/>
            </w:rPr>
            <w:instrText xml:space="preserve"> TOC \h \z \t "Heading 1,1" </w:instrText>
          </w:r>
          <w:r w:rsidRPr="00645ED9">
            <w:rPr>
              <w:rFonts w:ascii="Museo Sans 300" w:hAnsi="Museo Sans 300"/>
              <w:b w:val="0"/>
              <w:bCs w:val="0"/>
            </w:rPr>
            <w:fldChar w:fldCharType="separate"/>
          </w:r>
          <w:hyperlink w:anchor="_Toc166676696" w:history="1">
            <w:r w:rsidR="002769E0" w:rsidRPr="00025E1E">
              <w:rPr>
                <w:rStyle w:val="Hyperlink"/>
                <w:noProof/>
              </w:rPr>
              <w:t>Contents</w:t>
            </w:r>
            <w:r w:rsidR="002769E0">
              <w:rPr>
                <w:noProof/>
                <w:webHidden/>
              </w:rPr>
              <w:tab/>
            </w:r>
            <w:r w:rsidR="002769E0">
              <w:rPr>
                <w:noProof/>
                <w:webHidden/>
              </w:rPr>
              <w:fldChar w:fldCharType="begin"/>
            </w:r>
            <w:r w:rsidR="002769E0">
              <w:rPr>
                <w:noProof/>
                <w:webHidden/>
              </w:rPr>
              <w:instrText xml:space="preserve"> PAGEREF _Toc166676696 \h </w:instrText>
            </w:r>
            <w:r w:rsidR="002769E0">
              <w:rPr>
                <w:noProof/>
                <w:webHidden/>
              </w:rPr>
            </w:r>
            <w:r w:rsidR="002769E0">
              <w:rPr>
                <w:noProof/>
                <w:webHidden/>
              </w:rPr>
              <w:fldChar w:fldCharType="separate"/>
            </w:r>
            <w:r w:rsidR="002769E0">
              <w:rPr>
                <w:noProof/>
                <w:webHidden/>
              </w:rPr>
              <w:t>2</w:t>
            </w:r>
            <w:r w:rsidR="002769E0">
              <w:rPr>
                <w:noProof/>
                <w:webHidden/>
              </w:rPr>
              <w:fldChar w:fldCharType="end"/>
            </w:r>
          </w:hyperlink>
        </w:p>
        <w:p w14:paraId="59FFC254" w14:textId="55912300" w:rsidR="002769E0" w:rsidRDefault="002769E0">
          <w:pPr>
            <w:pStyle w:val="TOC1"/>
            <w:tabs>
              <w:tab w:val="left" w:pos="400"/>
              <w:tab w:val="right" w:leader="dot" w:pos="9016"/>
            </w:tabs>
            <w:rPr>
              <w:rFonts w:eastAsiaTheme="minorEastAsia" w:cstheme="minorBidi"/>
              <w:b w:val="0"/>
              <w:bCs w:val="0"/>
              <w:caps w:val="0"/>
              <w:noProof/>
              <w:kern w:val="2"/>
              <w:sz w:val="22"/>
              <w:szCs w:val="22"/>
              <w14:ligatures w14:val="standardContextual"/>
            </w:rPr>
          </w:pPr>
          <w:hyperlink w:anchor="_Toc166676697" w:history="1">
            <w:r w:rsidRPr="00025E1E">
              <w:rPr>
                <w:rStyle w:val="Hyperlink"/>
                <w:noProof/>
              </w:rPr>
              <w:t>1</w:t>
            </w:r>
            <w:r>
              <w:rPr>
                <w:rFonts w:eastAsiaTheme="minorEastAsia" w:cstheme="minorBidi"/>
                <w:b w:val="0"/>
                <w:bCs w:val="0"/>
                <w:caps w:val="0"/>
                <w:noProof/>
                <w:kern w:val="2"/>
                <w:sz w:val="22"/>
                <w:szCs w:val="22"/>
                <w14:ligatures w14:val="standardContextual"/>
              </w:rPr>
              <w:tab/>
            </w:r>
            <w:r w:rsidRPr="00025E1E">
              <w:rPr>
                <w:rStyle w:val="Hyperlink"/>
                <w:noProof/>
              </w:rPr>
              <w:t>Executive Summary</w:t>
            </w:r>
            <w:r>
              <w:rPr>
                <w:noProof/>
                <w:webHidden/>
              </w:rPr>
              <w:tab/>
            </w:r>
            <w:r>
              <w:rPr>
                <w:noProof/>
                <w:webHidden/>
              </w:rPr>
              <w:fldChar w:fldCharType="begin"/>
            </w:r>
            <w:r>
              <w:rPr>
                <w:noProof/>
                <w:webHidden/>
              </w:rPr>
              <w:instrText xml:space="preserve"> PAGEREF _Toc166676697 \h </w:instrText>
            </w:r>
            <w:r>
              <w:rPr>
                <w:noProof/>
                <w:webHidden/>
              </w:rPr>
            </w:r>
            <w:r>
              <w:rPr>
                <w:noProof/>
                <w:webHidden/>
              </w:rPr>
              <w:fldChar w:fldCharType="separate"/>
            </w:r>
            <w:r>
              <w:rPr>
                <w:noProof/>
                <w:webHidden/>
              </w:rPr>
              <w:t>3</w:t>
            </w:r>
            <w:r>
              <w:rPr>
                <w:noProof/>
                <w:webHidden/>
              </w:rPr>
              <w:fldChar w:fldCharType="end"/>
            </w:r>
          </w:hyperlink>
        </w:p>
        <w:p w14:paraId="43CEFD29" w14:textId="793C591E" w:rsidR="002769E0" w:rsidRDefault="002769E0">
          <w:pPr>
            <w:pStyle w:val="TOC1"/>
            <w:tabs>
              <w:tab w:val="left" w:pos="400"/>
              <w:tab w:val="right" w:leader="dot" w:pos="9016"/>
            </w:tabs>
            <w:rPr>
              <w:rFonts w:eastAsiaTheme="minorEastAsia" w:cstheme="minorBidi"/>
              <w:b w:val="0"/>
              <w:bCs w:val="0"/>
              <w:caps w:val="0"/>
              <w:noProof/>
              <w:kern w:val="2"/>
              <w:sz w:val="22"/>
              <w:szCs w:val="22"/>
              <w14:ligatures w14:val="standardContextual"/>
            </w:rPr>
          </w:pPr>
          <w:hyperlink w:anchor="_Toc166676698" w:history="1">
            <w:r w:rsidRPr="00025E1E">
              <w:rPr>
                <w:rStyle w:val="Hyperlink"/>
                <w:noProof/>
              </w:rPr>
              <w:t>2</w:t>
            </w:r>
            <w:r>
              <w:rPr>
                <w:rFonts w:eastAsiaTheme="minorEastAsia" w:cstheme="minorBidi"/>
                <w:b w:val="0"/>
                <w:bCs w:val="0"/>
                <w:caps w:val="0"/>
                <w:noProof/>
                <w:kern w:val="2"/>
                <w:sz w:val="22"/>
                <w:szCs w:val="22"/>
                <w14:ligatures w14:val="standardContextual"/>
              </w:rPr>
              <w:tab/>
            </w:r>
            <w:r w:rsidRPr="00025E1E">
              <w:rPr>
                <w:rStyle w:val="Hyperlink"/>
                <w:noProof/>
              </w:rPr>
              <w:t>Introduction</w:t>
            </w:r>
            <w:r>
              <w:rPr>
                <w:noProof/>
                <w:webHidden/>
              </w:rPr>
              <w:tab/>
            </w:r>
            <w:r>
              <w:rPr>
                <w:noProof/>
                <w:webHidden/>
              </w:rPr>
              <w:fldChar w:fldCharType="begin"/>
            </w:r>
            <w:r>
              <w:rPr>
                <w:noProof/>
                <w:webHidden/>
              </w:rPr>
              <w:instrText xml:space="preserve"> PAGEREF _Toc166676698 \h </w:instrText>
            </w:r>
            <w:r>
              <w:rPr>
                <w:noProof/>
                <w:webHidden/>
              </w:rPr>
            </w:r>
            <w:r>
              <w:rPr>
                <w:noProof/>
                <w:webHidden/>
              </w:rPr>
              <w:fldChar w:fldCharType="separate"/>
            </w:r>
            <w:r>
              <w:rPr>
                <w:noProof/>
                <w:webHidden/>
              </w:rPr>
              <w:t>4</w:t>
            </w:r>
            <w:r>
              <w:rPr>
                <w:noProof/>
                <w:webHidden/>
              </w:rPr>
              <w:fldChar w:fldCharType="end"/>
            </w:r>
          </w:hyperlink>
        </w:p>
        <w:p w14:paraId="76D2F644" w14:textId="5460E46C" w:rsidR="002769E0" w:rsidRDefault="002769E0">
          <w:pPr>
            <w:pStyle w:val="TOC1"/>
            <w:tabs>
              <w:tab w:val="left" w:pos="400"/>
              <w:tab w:val="right" w:leader="dot" w:pos="9016"/>
            </w:tabs>
            <w:rPr>
              <w:rFonts w:eastAsiaTheme="minorEastAsia" w:cstheme="minorBidi"/>
              <w:b w:val="0"/>
              <w:bCs w:val="0"/>
              <w:caps w:val="0"/>
              <w:noProof/>
              <w:kern w:val="2"/>
              <w:sz w:val="22"/>
              <w:szCs w:val="22"/>
              <w14:ligatures w14:val="standardContextual"/>
            </w:rPr>
          </w:pPr>
          <w:hyperlink w:anchor="_Toc166676699" w:history="1">
            <w:r w:rsidRPr="00025E1E">
              <w:rPr>
                <w:rStyle w:val="Hyperlink"/>
                <w:noProof/>
              </w:rPr>
              <w:t>3</w:t>
            </w:r>
            <w:r>
              <w:rPr>
                <w:rFonts w:eastAsiaTheme="minorEastAsia" w:cstheme="minorBidi"/>
                <w:b w:val="0"/>
                <w:bCs w:val="0"/>
                <w:caps w:val="0"/>
                <w:noProof/>
                <w:kern w:val="2"/>
                <w:sz w:val="22"/>
                <w:szCs w:val="22"/>
                <w14:ligatures w14:val="standardContextual"/>
              </w:rPr>
              <w:tab/>
            </w:r>
            <w:r w:rsidRPr="00025E1E">
              <w:rPr>
                <w:rStyle w:val="Hyperlink"/>
                <w:noProof/>
              </w:rPr>
              <w:t>Governance and Committees</w:t>
            </w:r>
            <w:r>
              <w:rPr>
                <w:noProof/>
                <w:webHidden/>
              </w:rPr>
              <w:tab/>
            </w:r>
            <w:r>
              <w:rPr>
                <w:noProof/>
                <w:webHidden/>
              </w:rPr>
              <w:fldChar w:fldCharType="begin"/>
            </w:r>
            <w:r>
              <w:rPr>
                <w:noProof/>
                <w:webHidden/>
              </w:rPr>
              <w:instrText xml:space="preserve"> PAGEREF _Toc166676699 \h </w:instrText>
            </w:r>
            <w:r>
              <w:rPr>
                <w:noProof/>
                <w:webHidden/>
              </w:rPr>
            </w:r>
            <w:r>
              <w:rPr>
                <w:noProof/>
                <w:webHidden/>
              </w:rPr>
              <w:fldChar w:fldCharType="separate"/>
            </w:r>
            <w:r>
              <w:rPr>
                <w:noProof/>
                <w:webHidden/>
              </w:rPr>
              <w:t>6</w:t>
            </w:r>
            <w:r>
              <w:rPr>
                <w:noProof/>
                <w:webHidden/>
              </w:rPr>
              <w:fldChar w:fldCharType="end"/>
            </w:r>
          </w:hyperlink>
        </w:p>
        <w:p w14:paraId="163E8FE2" w14:textId="61DEAC72" w:rsidR="002769E0" w:rsidRDefault="002769E0">
          <w:pPr>
            <w:pStyle w:val="TOC1"/>
            <w:tabs>
              <w:tab w:val="left" w:pos="400"/>
              <w:tab w:val="right" w:leader="dot" w:pos="9016"/>
            </w:tabs>
            <w:rPr>
              <w:rFonts w:eastAsiaTheme="minorEastAsia" w:cstheme="minorBidi"/>
              <w:b w:val="0"/>
              <w:bCs w:val="0"/>
              <w:caps w:val="0"/>
              <w:noProof/>
              <w:kern w:val="2"/>
              <w:sz w:val="22"/>
              <w:szCs w:val="22"/>
              <w14:ligatures w14:val="standardContextual"/>
            </w:rPr>
          </w:pPr>
          <w:hyperlink w:anchor="_Toc166676700" w:history="1">
            <w:r w:rsidRPr="00025E1E">
              <w:rPr>
                <w:rStyle w:val="Hyperlink"/>
                <w:noProof/>
              </w:rPr>
              <w:t>4</w:t>
            </w:r>
            <w:r>
              <w:rPr>
                <w:rFonts w:eastAsiaTheme="minorEastAsia" w:cstheme="minorBidi"/>
                <w:b w:val="0"/>
                <w:bCs w:val="0"/>
                <w:caps w:val="0"/>
                <w:noProof/>
                <w:kern w:val="2"/>
                <w:sz w:val="22"/>
                <w:szCs w:val="22"/>
                <w14:ligatures w14:val="standardContextual"/>
              </w:rPr>
              <w:tab/>
            </w:r>
            <w:r w:rsidRPr="00025E1E">
              <w:rPr>
                <w:rStyle w:val="Hyperlink"/>
                <w:noProof/>
              </w:rPr>
              <w:t>Risk Management Objectives and Policies</w:t>
            </w:r>
            <w:r>
              <w:rPr>
                <w:noProof/>
                <w:webHidden/>
              </w:rPr>
              <w:tab/>
            </w:r>
            <w:r>
              <w:rPr>
                <w:noProof/>
                <w:webHidden/>
              </w:rPr>
              <w:fldChar w:fldCharType="begin"/>
            </w:r>
            <w:r>
              <w:rPr>
                <w:noProof/>
                <w:webHidden/>
              </w:rPr>
              <w:instrText xml:space="preserve"> PAGEREF _Toc166676700 \h </w:instrText>
            </w:r>
            <w:r>
              <w:rPr>
                <w:noProof/>
                <w:webHidden/>
              </w:rPr>
            </w:r>
            <w:r>
              <w:rPr>
                <w:noProof/>
                <w:webHidden/>
              </w:rPr>
              <w:fldChar w:fldCharType="separate"/>
            </w:r>
            <w:r>
              <w:rPr>
                <w:noProof/>
                <w:webHidden/>
              </w:rPr>
              <w:t>10</w:t>
            </w:r>
            <w:r>
              <w:rPr>
                <w:noProof/>
                <w:webHidden/>
              </w:rPr>
              <w:fldChar w:fldCharType="end"/>
            </w:r>
          </w:hyperlink>
        </w:p>
        <w:p w14:paraId="79228A45" w14:textId="00220229" w:rsidR="002769E0" w:rsidRDefault="002769E0">
          <w:pPr>
            <w:pStyle w:val="TOC1"/>
            <w:tabs>
              <w:tab w:val="left" w:pos="400"/>
              <w:tab w:val="right" w:leader="dot" w:pos="9016"/>
            </w:tabs>
            <w:rPr>
              <w:rFonts w:eastAsiaTheme="minorEastAsia" w:cstheme="minorBidi"/>
              <w:b w:val="0"/>
              <w:bCs w:val="0"/>
              <w:caps w:val="0"/>
              <w:noProof/>
              <w:kern w:val="2"/>
              <w:sz w:val="22"/>
              <w:szCs w:val="22"/>
              <w14:ligatures w14:val="standardContextual"/>
            </w:rPr>
          </w:pPr>
          <w:hyperlink w:anchor="_Toc166676701" w:history="1">
            <w:r w:rsidRPr="00025E1E">
              <w:rPr>
                <w:rStyle w:val="Hyperlink"/>
                <w:noProof/>
              </w:rPr>
              <w:t>5</w:t>
            </w:r>
            <w:r>
              <w:rPr>
                <w:rFonts w:eastAsiaTheme="minorEastAsia" w:cstheme="minorBidi"/>
                <w:b w:val="0"/>
                <w:bCs w:val="0"/>
                <w:caps w:val="0"/>
                <w:noProof/>
                <w:kern w:val="2"/>
                <w:sz w:val="22"/>
                <w:szCs w:val="22"/>
                <w14:ligatures w14:val="standardContextual"/>
              </w:rPr>
              <w:tab/>
            </w:r>
            <w:r w:rsidRPr="00025E1E">
              <w:rPr>
                <w:rStyle w:val="Hyperlink"/>
                <w:noProof/>
              </w:rPr>
              <w:t>Capital Resources</w:t>
            </w:r>
            <w:r>
              <w:rPr>
                <w:noProof/>
                <w:webHidden/>
              </w:rPr>
              <w:tab/>
            </w:r>
            <w:r>
              <w:rPr>
                <w:noProof/>
                <w:webHidden/>
              </w:rPr>
              <w:fldChar w:fldCharType="begin"/>
            </w:r>
            <w:r>
              <w:rPr>
                <w:noProof/>
                <w:webHidden/>
              </w:rPr>
              <w:instrText xml:space="preserve"> PAGEREF _Toc166676701 \h </w:instrText>
            </w:r>
            <w:r>
              <w:rPr>
                <w:noProof/>
                <w:webHidden/>
              </w:rPr>
            </w:r>
            <w:r>
              <w:rPr>
                <w:noProof/>
                <w:webHidden/>
              </w:rPr>
              <w:fldChar w:fldCharType="separate"/>
            </w:r>
            <w:r>
              <w:rPr>
                <w:noProof/>
                <w:webHidden/>
              </w:rPr>
              <w:t>18</w:t>
            </w:r>
            <w:r>
              <w:rPr>
                <w:noProof/>
                <w:webHidden/>
              </w:rPr>
              <w:fldChar w:fldCharType="end"/>
            </w:r>
          </w:hyperlink>
        </w:p>
        <w:p w14:paraId="3D1F699C" w14:textId="641280F9" w:rsidR="002769E0" w:rsidRDefault="002769E0">
          <w:pPr>
            <w:pStyle w:val="TOC1"/>
            <w:tabs>
              <w:tab w:val="left" w:pos="400"/>
              <w:tab w:val="right" w:leader="dot" w:pos="9016"/>
            </w:tabs>
            <w:rPr>
              <w:rFonts w:eastAsiaTheme="minorEastAsia" w:cstheme="minorBidi"/>
              <w:b w:val="0"/>
              <w:bCs w:val="0"/>
              <w:caps w:val="0"/>
              <w:noProof/>
              <w:kern w:val="2"/>
              <w:sz w:val="22"/>
              <w:szCs w:val="22"/>
              <w14:ligatures w14:val="standardContextual"/>
            </w:rPr>
          </w:pPr>
          <w:hyperlink w:anchor="_Toc166676702" w:history="1">
            <w:r w:rsidRPr="00025E1E">
              <w:rPr>
                <w:rStyle w:val="Hyperlink"/>
                <w:noProof/>
              </w:rPr>
              <w:t>6</w:t>
            </w:r>
            <w:r>
              <w:rPr>
                <w:rFonts w:eastAsiaTheme="minorEastAsia" w:cstheme="minorBidi"/>
                <w:b w:val="0"/>
                <w:bCs w:val="0"/>
                <w:caps w:val="0"/>
                <w:noProof/>
                <w:kern w:val="2"/>
                <w:sz w:val="22"/>
                <w:szCs w:val="22"/>
                <w14:ligatures w14:val="standardContextual"/>
              </w:rPr>
              <w:tab/>
            </w:r>
            <w:r w:rsidRPr="00025E1E">
              <w:rPr>
                <w:rStyle w:val="Hyperlink"/>
                <w:noProof/>
              </w:rPr>
              <w:t>Remuneration</w:t>
            </w:r>
            <w:r>
              <w:rPr>
                <w:noProof/>
                <w:webHidden/>
              </w:rPr>
              <w:tab/>
            </w:r>
            <w:r>
              <w:rPr>
                <w:noProof/>
                <w:webHidden/>
              </w:rPr>
              <w:fldChar w:fldCharType="begin"/>
            </w:r>
            <w:r>
              <w:rPr>
                <w:noProof/>
                <w:webHidden/>
              </w:rPr>
              <w:instrText xml:space="preserve"> PAGEREF _Toc166676702 \h </w:instrText>
            </w:r>
            <w:r>
              <w:rPr>
                <w:noProof/>
                <w:webHidden/>
              </w:rPr>
            </w:r>
            <w:r>
              <w:rPr>
                <w:noProof/>
                <w:webHidden/>
              </w:rPr>
              <w:fldChar w:fldCharType="separate"/>
            </w:r>
            <w:r>
              <w:rPr>
                <w:noProof/>
                <w:webHidden/>
              </w:rPr>
              <w:t>23</w:t>
            </w:r>
            <w:r>
              <w:rPr>
                <w:noProof/>
                <w:webHidden/>
              </w:rPr>
              <w:fldChar w:fldCharType="end"/>
            </w:r>
          </w:hyperlink>
        </w:p>
        <w:p w14:paraId="675B804B" w14:textId="792358EA" w:rsidR="002D3FFE" w:rsidRDefault="002D3FFE" w:rsidP="0006275C">
          <w:pPr>
            <w:jc w:val="both"/>
          </w:pPr>
          <w:r w:rsidRPr="00645ED9">
            <w:fldChar w:fldCharType="end"/>
          </w:r>
        </w:p>
      </w:sdtContent>
    </w:sdt>
    <w:p w14:paraId="3C55B8E1" w14:textId="77777777" w:rsidR="002D3FFE" w:rsidRPr="00571B01" w:rsidRDefault="002D3FFE" w:rsidP="0006275C">
      <w:pPr>
        <w:pStyle w:val="subheading"/>
        <w:numPr>
          <w:ilvl w:val="0"/>
          <w:numId w:val="2"/>
        </w:numPr>
        <w:jc w:val="both"/>
        <w:sectPr w:rsidR="002D3FFE" w:rsidRPr="00571B01" w:rsidSect="00572C82">
          <w:headerReference w:type="default" r:id="rId10"/>
          <w:footerReference w:type="default" r:id="rId11"/>
          <w:pgSz w:w="11906" w:h="16838"/>
          <w:pgMar w:top="1440" w:right="1440" w:bottom="1134" w:left="1440" w:header="708" w:footer="195" w:gutter="0"/>
          <w:cols w:space="708"/>
          <w:docGrid w:linePitch="360"/>
        </w:sectPr>
      </w:pPr>
    </w:p>
    <w:p w14:paraId="3FA25E57" w14:textId="77777777" w:rsidR="002D3FFE" w:rsidRPr="000F65E5" w:rsidRDefault="002D3FFE" w:rsidP="00877E68">
      <w:pPr>
        <w:pStyle w:val="Heading1"/>
        <w:numPr>
          <w:ilvl w:val="0"/>
          <w:numId w:val="25"/>
        </w:numPr>
        <w:jc w:val="both"/>
        <w:rPr>
          <w:color w:val="5B9BD5"/>
        </w:rPr>
      </w:pPr>
      <w:bookmarkStart w:id="7" w:name="_Toc166676697"/>
      <w:r w:rsidRPr="000F65E5">
        <w:rPr>
          <w:color w:val="5B9BD5"/>
        </w:rPr>
        <w:lastRenderedPageBreak/>
        <w:t>Executive Summary</w:t>
      </w:r>
      <w:bookmarkEnd w:id="7"/>
    </w:p>
    <w:p w14:paraId="5309F7D6" w14:textId="77777777" w:rsidR="002D3FFE" w:rsidRPr="000F65E5" w:rsidRDefault="002D3FFE" w:rsidP="00734134">
      <w:pPr>
        <w:pStyle w:val="Heading2"/>
      </w:pPr>
      <w:bookmarkStart w:id="8" w:name="_Toc448910856"/>
      <w:bookmarkEnd w:id="8"/>
      <w:r w:rsidRPr="000F65E5">
        <w:t>Introduction</w:t>
      </w:r>
    </w:p>
    <w:p w14:paraId="4075AA7A" w14:textId="77777777" w:rsidR="002D3FFE" w:rsidRPr="000F65E5" w:rsidRDefault="002D3FFE" w:rsidP="00F06BF5">
      <w:pPr>
        <w:spacing w:line="276" w:lineRule="auto"/>
        <w:jc w:val="both"/>
        <w:rPr>
          <w:rFonts w:eastAsia="Times New Roman"/>
          <w:lang w:eastAsia="en-US"/>
        </w:rPr>
      </w:pPr>
      <w:r w:rsidRPr="000F65E5">
        <w:rPr>
          <w:rFonts w:eastAsia="Times New Roman"/>
          <w:lang w:eastAsia="en-US"/>
        </w:rPr>
        <w:t>Cambridge &amp; Counties Bank (CCB</w:t>
      </w:r>
      <w:r>
        <w:rPr>
          <w:rFonts w:eastAsia="Times New Roman"/>
          <w:lang w:eastAsia="en-US"/>
        </w:rPr>
        <w:t>/ the Bank</w:t>
      </w:r>
      <w:r w:rsidRPr="000F65E5">
        <w:rPr>
          <w:rFonts w:eastAsia="Times New Roman"/>
          <w:lang w:eastAsia="en-US"/>
        </w:rPr>
        <w:t>) is a UK bank that specialises in providing lending and deposit products for Small and Medium Enterprises (SMEs).</w:t>
      </w:r>
    </w:p>
    <w:p w14:paraId="7D19ED13" w14:textId="77777777" w:rsidR="002D3FFE" w:rsidRPr="000F65E5" w:rsidRDefault="002D3FFE" w:rsidP="00F06BF5">
      <w:pPr>
        <w:autoSpaceDE w:val="0"/>
        <w:autoSpaceDN w:val="0"/>
        <w:adjustRightInd w:val="0"/>
        <w:spacing w:line="276" w:lineRule="auto"/>
        <w:jc w:val="both"/>
        <w:rPr>
          <w:rFonts w:eastAsia="Times New Roman"/>
          <w:lang w:eastAsia="en-US"/>
        </w:rPr>
      </w:pPr>
    </w:p>
    <w:p w14:paraId="66A8DB2D" w14:textId="77777777" w:rsidR="002D3FFE" w:rsidRPr="00B7364B" w:rsidRDefault="002D3FFE" w:rsidP="00F06BF5">
      <w:pPr>
        <w:spacing w:line="276" w:lineRule="auto"/>
        <w:jc w:val="both"/>
        <w:rPr>
          <w:rFonts w:cstheme="minorHAnsi"/>
        </w:rPr>
      </w:pPr>
      <w:r w:rsidRPr="00B7364B">
        <w:rPr>
          <w:rFonts w:cstheme="minorHAnsi"/>
        </w:rPr>
        <w:t xml:space="preserve">Established in June 2012, Cambridge &amp; Counties Bank has a </w:t>
      </w:r>
      <w:r>
        <w:rPr>
          <w:rFonts w:cstheme="minorHAnsi"/>
        </w:rPr>
        <w:t xml:space="preserve">stable and supportive </w:t>
      </w:r>
      <w:r w:rsidRPr="00B7364B">
        <w:rPr>
          <w:rFonts w:cstheme="minorHAnsi"/>
        </w:rPr>
        <w:t>ownership structure being jointly owned by Trinity Hall, a college of the University of Cambridge, and Cambridgeshire County Council as Administering Authority of the Cambridgeshire Local Government Pension Fund.</w:t>
      </w:r>
    </w:p>
    <w:p w14:paraId="76ED2F20" w14:textId="77777777" w:rsidR="002D3FFE" w:rsidRPr="000F65E5" w:rsidRDefault="002D3FFE" w:rsidP="00F06BF5">
      <w:pPr>
        <w:spacing w:line="276" w:lineRule="auto"/>
        <w:jc w:val="both"/>
        <w:rPr>
          <w:rFonts w:eastAsia="Times New Roman"/>
          <w:lang w:eastAsia="en-US"/>
        </w:rPr>
      </w:pPr>
    </w:p>
    <w:p w14:paraId="44648913" w14:textId="77777777" w:rsidR="0016410F" w:rsidRDefault="002D3FFE" w:rsidP="00F06BF5">
      <w:pPr>
        <w:spacing w:line="276" w:lineRule="auto"/>
        <w:jc w:val="both"/>
        <w:rPr>
          <w:rFonts w:eastAsia="Times New Roman"/>
          <w:lang w:eastAsia="en-US"/>
        </w:rPr>
      </w:pPr>
      <w:r w:rsidRPr="000F65E5">
        <w:rPr>
          <w:rFonts w:eastAsia="Times New Roman"/>
          <w:lang w:eastAsia="en-US"/>
        </w:rPr>
        <w:t>The Bank is authorised by the Prudential Regulation Authority (PRA), regulated by the Financial Conduct Authority (FCA) and the PRA, and registered under the Financial Services Compensation Scheme.</w:t>
      </w:r>
      <w:r w:rsidR="0034330E">
        <w:rPr>
          <w:rFonts w:eastAsia="Times New Roman"/>
          <w:lang w:eastAsia="en-US"/>
        </w:rPr>
        <w:t xml:space="preserve"> </w:t>
      </w:r>
    </w:p>
    <w:p w14:paraId="6618B44F" w14:textId="77777777" w:rsidR="0016410F" w:rsidRDefault="0016410F" w:rsidP="00F06BF5">
      <w:pPr>
        <w:spacing w:line="276" w:lineRule="auto"/>
        <w:jc w:val="both"/>
        <w:rPr>
          <w:rFonts w:eastAsia="Times New Roman"/>
          <w:lang w:eastAsia="en-US"/>
        </w:rPr>
      </w:pPr>
    </w:p>
    <w:p w14:paraId="5995B508" w14:textId="5FEB6F46" w:rsidR="002D3FFE" w:rsidRPr="0034330E" w:rsidRDefault="002D3FFE" w:rsidP="00F06BF5">
      <w:pPr>
        <w:spacing w:line="276" w:lineRule="auto"/>
        <w:jc w:val="both"/>
        <w:rPr>
          <w:rFonts w:eastAsia="Times New Roman"/>
          <w:lang w:eastAsia="en-US"/>
        </w:rPr>
      </w:pPr>
      <w:r w:rsidRPr="000F65E5">
        <w:rPr>
          <w:rFonts w:eastAsia="Times New Roman"/>
          <w:lang w:eastAsia="en-US"/>
        </w:rPr>
        <w:t>The Bank does not have any subsidiaries</w:t>
      </w:r>
      <w:r w:rsidRPr="000F65E5">
        <w:t xml:space="preserve">. </w:t>
      </w:r>
    </w:p>
    <w:p w14:paraId="5F4EC9FF" w14:textId="77777777" w:rsidR="002D3FFE" w:rsidRPr="000F65E5" w:rsidRDefault="002D3FFE" w:rsidP="0006275C">
      <w:pPr>
        <w:spacing w:line="276" w:lineRule="auto"/>
        <w:jc w:val="both"/>
        <w:rPr>
          <w:b/>
        </w:rPr>
      </w:pPr>
    </w:p>
    <w:p w14:paraId="6CA83086" w14:textId="1C8369B1" w:rsidR="002D3FFE" w:rsidRPr="000F65E5" w:rsidRDefault="002D3FFE" w:rsidP="00A97C56">
      <w:pPr>
        <w:pStyle w:val="Heading3"/>
        <w:ind w:left="0"/>
      </w:pPr>
      <w:r w:rsidRPr="000F65E5">
        <w:t>Target Markets</w:t>
      </w:r>
      <w:r w:rsidR="00175463">
        <w:t xml:space="preserve"> and Distribution Networks</w:t>
      </w:r>
    </w:p>
    <w:p w14:paraId="04A59D49" w14:textId="0844090D" w:rsidR="004F7F63" w:rsidRPr="00914E86" w:rsidRDefault="004F7F63" w:rsidP="00F06BF5">
      <w:pPr>
        <w:spacing w:line="276" w:lineRule="auto"/>
        <w:jc w:val="both"/>
        <w:rPr>
          <w:rFonts w:cstheme="minorHAnsi"/>
        </w:rPr>
      </w:pPr>
      <w:r w:rsidRPr="00914E86">
        <w:rPr>
          <w:rFonts w:cstheme="minorHAnsi"/>
        </w:rPr>
        <w:t xml:space="preserve">Cambridge &amp; Counties Bank provides lending products through a network of relationship managers who deal via business introducers as well as directly with customers.  We seek to be straight forward and easy to deal with in our interactions with introducers </w:t>
      </w:r>
      <w:r w:rsidR="00A133AE">
        <w:rPr>
          <w:rFonts w:cstheme="minorHAnsi"/>
        </w:rPr>
        <w:t xml:space="preserve">and customers </w:t>
      </w:r>
      <w:r w:rsidRPr="00914E86">
        <w:rPr>
          <w:rFonts w:cstheme="minorHAnsi"/>
        </w:rPr>
        <w:t>and deliver a banking experience that attracts and retains customers.  The Bank delivers a range of savings accounts via the internet, post, and savings intermediaries.</w:t>
      </w:r>
    </w:p>
    <w:p w14:paraId="601AF13D" w14:textId="006D9825" w:rsidR="004F7F63" w:rsidRDefault="004F7F63" w:rsidP="00F06BF5">
      <w:pPr>
        <w:spacing w:line="276" w:lineRule="auto"/>
        <w:jc w:val="both"/>
        <w:rPr>
          <w:rFonts w:cstheme="minorHAnsi"/>
        </w:rPr>
      </w:pPr>
    </w:p>
    <w:p w14:paraId="735E3C0F" w14:textId="333205B0" w:rsidR="002D7AF2" w:rsidRPr="00B7364B" w:rsidRDefault="002D7AF2" w:rsidP="00F06BF5">
      <w:pPr>
        <w:shd w:val="clear" w:color="auto" w:fill="FFFFFF" w:themeFill="background1"/>
        <w:spacing w:line="276" w:lineRule="auto"/>
        <w:jc w:val="both"/>
        <w:rPr>
          <w:rFonts w:cstheme="minorHAnsi"/>
        </w:rPr>
      </w:pPr>
      <w:r>
        <w:rPr>
          <w:rFonts w:cstheme="minorHAnsi"/>
        </w:rPr>
        <w:t>We</w:t>
      </w:r>
      <w:r w:rsidRPr="00B7364B">
        <w:rPr>
          <w:rFonts w:cstheme="minorHAnsi"/>
        </w:rPr>
        <w:t xml:space="preserve"> lend to experienced commercial and residential property investors as well as to owner occupied businesses to invest in their own commercial premises</w:t>
      </w:r>
      <w:r w:rsidR="008D4834">
        <w:rPr>
          <w:rFonts w:cstheme="minorHAnsi"/>
        </w:rPr>
        <w:t xml:space="preserve">, </w:t>
      </w:r>
      <w:r w:rsidR="00223CE2" w:rsidRPr="00B7364B">
        <w:rPr>
          <w:rFonts w:cstheme="minorHAnsi"/>
        </w:rPr>
        <w:t xml:space="preserve">secured on </w:t>
      </w:r>
      <w:r w:rsidR="007867DB" w:rsidRPr="00B7364B">
        <w:rPr>
          <w:rFonts w:cstheme="minorHAnsi"/>
        </w:rPr>
        <w:t>property.</w:t>
      </w:r>
      <w:r w:rsidR="00223CE2">
        <w:rPr>
          <w:rFonts w:cstheme="minorHAnsi"/>
        </w:rPr>
        <w:t xml:space="preserve"> </w:t>
      </w:r>
      <w:r w:rsidRPr="00B7364B">
        <w:rPr>
          <w:rFonts w:cstheme="minorHAnsi"/>
        </w:rPr>
        <w:t>The Bank provides finance for businesses to acquire essential assets such as equipment, plant, machinery, or vehicles</w:t>
      </w:r>
      <w:r>
        <w:rPr>
          <w:rFonts w:cstheme="minorHAnsi"/>
        </w:rPr>
        <w:t>,</w:t>
      </w:r>
      <w:r w:rsidRPr="00B7364B">
        <w:rPr>
          <w:rFonts w:cstheme="minorHAnsi"/>
        </w:rPr>
        <w:t xml:space="preserve"> using hire purchase and finance lease facilities.  The Bank also provides finance for the purchase of classic cars using hire purchase and finance lease products. </w:t>
      </w:r>
    </w:p>
    <w:p w14:paraId="34D0D5B7" w14:textId="77777777" w:rsidR="002D7AF2" w:rsidRDefault="002D7AF2" w:rsidP="00F06BF5">
      <w:pPr>
        <w:spacing w:line="276" w:lineRule="auto"/>
        <w:jc w:val="both"/>
        <w:rPr>
          <w:rFonts w:cstheme="minorHAnsi"/>
        </w:rPr>
      </w:pPr>
    </w:p>
    <w:p w14:paraId="4F42D048" w14:textId="585578B8" w:rsidR="008C2F0B" w:rsidRPr="00B7364B" w:rsidRDefault="008C2F0B" w:rsidP="00F06BF5">
      <w:pPr>
        <w:spacing w:line="276" w:lineRule="auto"/>
        <w:jc w:val="both"/>
        <w:rPr>
          <w:rFonts w:cstheme="minorHAnsi"/>
        </w:rPr>
      </w:pPr>
      <w:r w:rsidRPr="00C33C41">
        <w:rPr>
          <w:rFonts w:cstheme="minorHAnsi"/>
        </w:rPr>
        <w:t>The Bank</w:t>
      </w:r>
      <w:r w:rsidR="00197E69" w:rsidRPr="00C33C41">
        <w:rPr>
          <w:rFonts w:cstheme="minorHAnsi"/>
        </w:rPr>
        <w:t xml:space="preserve"> remains focused </w:t>
      </w:r>
      <w:r w:rsidR="00C33C41" w:rsidRPr="00C33C41">
        <w:rPr>
          <w:rFonts w:cstheme="minorHAnsi"/>
        </w:rPr>
        <w:t xml:space="preserve">on </w:t>
      </w:r>
      <w:r w:rsidR="00197E69" w:rsidRPr="00C33C41">
        <w:rPr>
          <w:rFonts w:cstheme="minorHAnsi"/>
        </w:rPr>
        <w:t>support</w:t>
      </w:r>
      <w:r w:rsidR="00C33C41" w:rsidRPr="00C33C41">
        <w:rPr>
          <w:rFonts w:cstheme="minorHAnsi"/>
        </w:rPr>
        <w:t xml:space="preserve">ing </w:t>
      </w:r>
      <w:r w:rsidR="00197E69" w:rsidRPr="00C33C41">
        <w:rPr>
          <w:rFonts w:cstheme="minorHAnsi"/>
        </w:rPr>
        <w:t>SME customers in our chosen markets</w:t>
      </w:r>
      <w:r w:rsidR="008D4834" w:rsidRPr="00C33C41">
        <w:rPr>
          <w:rFonts w:cstheme="minorHAnsi"/>
        </w:rPr>
        <w:t>.</w:t>
      </w:r>
      <w:r w:rsidR="004E3F40" w:rsidRPr="00C33C41">
        <w:rPr>
          <w:rFonts w:cstheme="minorHAnsi"/>
        </w:rPr>
        <w:t xml:space="preserve"> As our customers reassess their investment priorities in </w:t>
      </w:r>
      <w:r w:rsidR="00E01413">
        <w:rPr>
          <w:rFonts w:cstheme="minorHAnsi"/>
        </w:rPr>
        <w:t>a volatile and challenging economic climate and geopolitical environment</w:t>
      </w:r>
      <w:r w:rsidR="004E3F40" w:rsidRPr="00C33C41">
        <w:rPr>
          <w:rFonts w:cstheme="minorHAnsi"/>
        </w:rPr>
        <w:t xml:space="preserve">, </w:t>
      </w:r>
      <w:r w:rsidR="00C33C41" w:rsidRPr="00C33C41">
        <w:rPr>
          <w:rFonts w:cstheme="minorHAnsi"/>
        </w:rPr>
        <w:t>we continue t</w:t>
      </w:r>
      <w:r w:rsidR="004E3F40" w:rsidRPr="00C33C41">
        <w:rPr>
          <w:rFonts w:cstheme="minorHAnsi"/>
        </w:rPr>
        <w:t>o lend</w:t>
      </w:r>
      <w:r w:rsidR="00C33C41" w:rsidRPr="00C33C41">
        <w:rPr>
          <w:rFonts w:cstheme="minorHAnsi"/>
        </w:rPr>
        <w:t xml:space="preserve"> </w:t>
      </w:r>
      <w:r w:rsidR="004E3F40" w:rsidRPr="00C33C41">
        <w:rPr>
          <w:rFonts w:cstheme="minorHAnsi"/>
        </w:rPr>
        <w:t>responsibly while also helping our customers navigate the challenges they face</w:t>
      </w:r>
      <w:r w:rsidR="00D208F6">
        <w:rPr>
          <w:rFonts w:cstheme="minorHAnsi"/>
        </w:rPr>
        <w:t>.</w:t>
      </w:r>
    </w:p>
    <w:p w14:paraId="0772841C" w14:textId="77777777" w:rsidR="008C2F0B" w:rsidRDefault="008C2F0B" w:rsidP="00F06BF5">
      <w:pPr>
        <w:spacing w:line="276" w:lineRule="auto"/>
        <w:jc w:val="both"/>
        <w:rPr>
          <w:rFonts w:cstheme="minorHAnsi"/>
        </w:rPr>
      </w:pPr>
    </w:p>
    <w:p w14:paraId="19880B66" w14:textId="351BF71D" w:rsidR="002D3FFE" w:rsidRDefault="002D3FFE" w:rsidP="00F06BF5">
      <w:pPr>
        <w:spacing w:line="276" w:lineRule="auto"/>
        <w:jc w:val="both"/>
        <w:rPr>
          <w:rFonts w:cstheme="minorHAnsi"/>
        </w:rPr>
      </w:pPr>
      <w:r w:rsidRPr="00914E86">
        <w:rPr>
          <w:rFonts w:cstheme="minorHAnsi"/>
        </w:rPr>
        <w:t>The Bank’s lending is primarily funded by the acquisition of UK savings balances</w:t>
      </w:r>
      <w:r w:rsidRPr="00774244">
        <w:rPr>
          <w:rFonts w:cstheme="minorHAnsi"/>
        </w:rPr>
        <w:t xml:space="preserve">.  </w:t>
      </w:r>
      <w:r w:rsidR="00774244" w:rsidRPr="00774244">
        <w:rPr>
          <w:rFonts w:cstheme="minorHAnsi"/>
        </w:rPr>
        <w:t xml:space="preserve">We </w:t>
      </w:r>
      <w:r w:rsidRPr="00774244">
        <w:rPr>
          <w:rFonts w:cstheme="minorHAnsi"/>
        </w:rPr>
        <w:t>offer</w:t>
      </w:r>
      <w:r w:rsidRPr="00914E86">
        <w:rPr>
          <w:rFonts w:cstheme="minorHAnsi"/>
        </w:rPr>
        <w:t xml:space="preserve"> a range of deposit accounts that are available directly to business customers.  These accounts are also available to retail customers through a network of Deposit Intermediaries.  Business customers include broader organisations such as charities, clubs, societies, and associations.</w:t>
      </w:r>
    </w:p>
    <w:p w14:paraId="5502462C" w14:textId="77777777" w:rsidR="00656021" w:rsidRDefault="00656021" w:rsidP="00656021">
      <w:pPr>
        <w:jc w:val="both"/>
      </w:pPr>
    </w:p>
    <w:p w14:paraId="502C50E4" w14:textId="4499A2AB" w:rsidR="002D3FFE" w:rsidRPr="000F65E5" w:rsidRDefault="002D3FFE" w:rsidP="00A97C56">
      <w:pPr>
        <w:pStyle w:val="Heading3"/>
        <w:ind w:left="0"/>
      </w:pPr>
      <w:r w:rsidRPr="000F65E5">
        <w:t>Financial performance</w:t>
      </w:r>
    </w:p>
    <w:p w14:paraId="2A67EC6D" w14:textId="6D1CAF94" w:rsidR="00EC2E06" w:rsidRPr="00F57E2A" w:rsidRDefault="002D3FFE" w:rsidP="00F06BF5">
      <w:pPr>
        <w:spacing w:line="276" w:lineRule="auto"/>
        <w:jc w:val="both"/>
        <w:rPr>
          <w:rFonts w:cstheme="minorHAnsi"/>
        </w:rPr>
      </w:pPr>
      <w:r w:rsidRPr="007C1228">
        <w:rPr>
          <w:rFonts w:cstheme="minorHAnsi"/>
        </w:rPr>
        <w:t>For the year ended 31 December 202</w:t>
      </w:r>
      <w:r w:rsidR="009B684A">
        <w:rPr>
          <w:rFonts w:cstheme="minorHAnsi"/>
        </w:rPr>
        <w:t>3</w:t>
      </w:r>
      <w:r w:rsidRPr="007C1228">
        <w:rPr>
          <w:rFonts w:cstheme="minorHAnsi"/>
        </w:rPr>
        <w:t>, the Bank had operating income of £</w:t>
      </w:r>
      <w:r w:rsidR="009B684A">
        <w:rPr>
          <w:rFonts w:cstheme="minorHAnsi"/>
        </w:rPr>
        <w:t>76.4</w:t>
      </w:r>
      <w:r w:rsidRPr="007C1228">
        <w:rPr>
          <w:rFonts w:cstheme="minorHAnsi"/>
        </w:rPr>
        <w:t>m (202</w:t>
      </w:r>
      <w:r w:rsidR="009B684A">
        <w:rPr>
          <w:rFonts w:cstheme="minorHAnsi"/>
        </w:rPr>
        <w:t>2</w:t>
      </w:r>
      <w:r w:rsidR="00656021">
        <w:rPr>
          <w:rFonts w:cstheme="minorHAnsi"/>
        </w:rPr>
        <w:t>:</w:t>
      </w:r>
      <w:r w:rsidRPr="007C1228">
        <w:rPr>
          <w:rFonts w:cstheme="minorHAnsi"/>
        </w:rPr>
        <w:t xml:space="preserve"> </w:t>
      </w:r>
      <w:r w:rsidR="009B684A" w:rsidRPr="007C1228">
        <w:rPr>
          <w:rFonts w:cstheme="minorHAnsi"/>
        </w:rPr>
        <w:t>£59.3m</w:t>
      </w:r>
      <w:r w:rsidRPr="007C1228">
        <w:rPr>
          <w:rFonts w:cstheme="minorHAnsi"/>
        </w:rPr>
        <w:t>) and reported profit before tax of £</w:t>
      </w:r>
      <w:r w:rsidR="009B684A">
        <w:rPr>
          <w:rFonts w:cstheme="minorHAnsi"/>
        </w:rPr>
        <w:t>40.9</w:t>
      </w:r>
      <w:r w:rsidRPr="007C1228">
        <w:rPr>
          <w:rFonts w:cstheme="minorHAnsi"/>
        </w:rPr>
        <w:t>m (202</w:t>
      </w:r>
      <w:r w:rsidR="009B684A">
        <w:rPr>
          <w:rFonts w:cstheme="minorHAnsi"/>
        </w:rPr>
        <w:t>2</w:t>
      </w:r>
      <w:r w:rsidR="00656021">
        <w:rPr>
          <w:rFonts w:cstheme="minorHAnsi"/>
        </w:rPr>
        <w:t>:</w:t>
      </w:r>
      <w:r w:rsidRPr="007C1228">
        <w:rPr>
          <w:rFonts w:cstheme="minorHAnsi"/>
        </w:rPr>
        <w:t xml:space="preserve"> £</w:t>
      </w:r>
      <w:r w:rsidR="009B684A" w:rsidRPr="007C1228">
        <w:rPr>
          <w:rFonts w:cstheme="minorHAnsi"/>
        </w:rPr>
        <w:t>28.5m</w:t>
      </w:r>
      <w:r w:rsidRPr="007C1228">
        <w:rPr>
          <w:rFonts w:cstheme="minorHAnsi"/>
        </w:rPr>
        <w:t xml:space="preserve">). Total </w:t>
      </w:r>
      <w:r w:rsidR="00116A10">
        <w:rPr>
          <w:rFonts w:cstheme="minorHAnsi"/>
        </w:rPr>
        <w:t>e</w:t>
      </w:r>
      <w:r w:rsidRPr="007C1228">
        <w:rPr>
          <w:rFonts w:cstheme="minorHAnsi"/>
        </w:rPr>
        <w:t xml:space="preserve">quity </w:t>
      </w:r>
      <w:r w:rsidR="00656021">
        <w:rPr>
          <w:rFonts w:cstheme="minorHAnsi"/>
        </w:rPr>
        <w:t xml:space="preserve">as </w:t>
      </w:r>
      <w:r w:rsidR="00D460CB" w:rsidRPr="007C1228">
        <w:rPr>
          <w:rFonts w:cstheme="minorHAnsi"/>
        </w:rPr>
        <w:t>of</w:t>
      </w:r>
      <w:r w:rsidRPr="007C1228">
        <w:rPr>
          <w:rFonts w:cstheme="minorHAnsi"/>
        </w:rPr>
        <w:t xml:space="preserve"> 31 December 202</w:t>
      </w:r>
      <w:r w:rsidR="009B684A">
        <w:rPr>
          <w:rFonts w:cstheme="minorHAnsi"/>
        </w:rPr>
        <w:t>3</w:t>
      </w:r>
      <w:r w:rsidRPr="007C1228">
        <w:rPr>
          <w:rFonts w:cstheme="minorHAnsi"/>
        </w:rPr>
        <w:t xml:space="preserve"> was £</w:t>
      </w:r>
      <w:r w:rsidR="009B684A">
        <w:rPr>
          <w:rFonts w:cstheme="minorHAnsi"/>
        </w:rPr>
        <w:t>215</w:t>
      </w:r>
      <w:r w:rsidRPr="007C1228">
        <w:rPr>
          <w:rFonts w:cstheme="minorHAnsi"/>
        </w:rPr>
        <w:t>m (202</w:t>
      </w:r>
      <w:r w:rsidR="009B684A">
        <w:rPr>
          <w:rFonts w:cstheme="minorHAnsi"/>
        </w:rPr>
        <w:t>2</w:t>
      </w:r>
      <w:r w:rsidR="00656021">
        <w:rPr>
          <w:rFonts w:cstheme="minorHAnsi"/>
        </w:rPr>
        <w:t>:</w:t>
      </w:r>
      <w:r w:rsidRPr="007C1228">
        <w:rPr>
          <w:rFonts w:cstheme="minorHAnsi"/>
        </w:rPr>
        <w:t xml:space="preserve"> £</w:t>
      </w:r>
      <w:r w:rsidR="009B684A">
        <w:rPr>
          <w:rFonts w:cstheme="minorHAnsi"/>
        </w:rPr>
        <w:t>18</w:t>
      </w:r>
      <w:r w:rsidR="00055F98">
        <w:rPr>
          <w:rFonts w:cstheme="minorHAnsi"/>
        </w:rPr>
        <w:t>5</w:t>
      </w:r>
      <w:r w:rsidRPr="007C1228">
        <w:rPr>
          <w:rFonts w:cstheme="minorHAnsi"/>
        </w:rPr>
        <w:t xml:space="preserve">m). The Bank employed an average of </w:t>
      </w:r>
      <w:r w:rsidR="007C1228" w:rsidRPr="007C1228">
        <w:rPr>
          <w:rFonts w:cstheme="minorHAnsi"/>
        </w:rPr>
        <w:t>2</w:t>
      </w:r>
      <w:r w:rsidR="009B684A">
        <w:rPr>
          <w:rFonts w:cstheme="minorHAnsi"/>
        </w:rPr>
        <w:t>25</w:t>
      </w:r>
      <w:r w:rsidRPr="007C1228">
        <w:rPr>
          <w:rFonts w:cstheme="minorHAnsi"/>
        </w:rPr>
        <w:t xml:space="preserve"> FTE employees (202</w:t>
      </w:r>
      <w:r w:rsidR="009B684A">
        <w:rPr>
          <w:rFonts w:cstheme="minorHAnsi"/>
        </w:rPr>
        <w:t>2</w:t>
      </w:r>
      <w:r w:rsidR="00656021">
        <w:rPr>
          <w:rFonts w:cstheme="minorHAnsi"/>
        </w:rPr>
        <w:t>:</w:t>
      </w:r>
      <w:r w:rsidRPr="007C1228">
        <w:rPr>
          <w:rFonts w:cstheme="minorHAnsi"/>
        </w:rPr>
        <w:t xml:space="preserve"> </w:t>
      </w:r>
      <w:r w:rsidR="009B684A">
        <w:rPr>
          <w:rFonts w:cstheme="minorHAnsi"/>
        </w:rPr>
        <w:t>206</w:t>
      </w:r>
      <w:r w:rsidRPr="007C1228">
        <w:rPr>
          <w:rFonts w:cstheme="minorHAnsi"/>
        </w:rPr>
        <w:t xml:space="preserve">) during the year. Full details on the Bank’s financial results are reported in its statutory accounts which are published on its website ( </w:t>
      </w:r>
      <w:hyperlink r:id="rId12" w:history="1">
        <w:r w:rsidRPr="007C1228">
          <w:rPr>
            <w:rFonts w:cstheme="minorHAnsi"/>
          </w:rPr>
          <w:t>https://ccbank.co.uk/about-us/annualresults/</w:t>
        </w:r>
      </w:hyperlink>
      <w:r w:rsidRPr="007C1228">
        <w:rPr>
          <w:rFonts w:cstheme="minorHAnsi"/>
        </w:rPr>
        <w:t xml:space="preserve"> ).  </w:t>
      </w:r>
      <w:bookmarkStart w:id="9" w:name="_Toc448910853"/>
      <w:bookmarkStart w:id="10" w:name="_Toc453142513"/>
      <w:bookmarkStart w:id="11" w:name="_Toc453142706"/>
    </w:p>
    <w:bookmarkEnd w:id="9"/>
    <w:bookmarkEnd w:id="10"/>
    <w:bookmarkEnd w:id="11"/>
    <w:p w14:paraId="64AA0F7C" w14:textId="79B9A95F" w:rsidR="002D3FFE" w:rsidRPr="000F65E5" w:rsidRDefault="002D3FFE" w:rsidP="00877E68">
      <w:pPr>
        <w:pStyle w:val="Heading1"/>
        <w:numPr>
          <w:ilvl w:val="0"/>
          <w:numId w:val="25"/>
        </w:numPr>
        <w:jc w:val="both"/>
        <w:rPr>
          <w:color w:val="5B9BD5"/>
        </w:rPr>
      </w:pPr>
      <w:r w:rsidRPr="000F65E5">
        <w:br w:type="column"/>
      </w:r>
      <w:bookmarkStart w:id="12" w:name="_Toc166676698"/>
      <w:r w:rsidRPr="000F65E5">
        <w:rPr>
          <w:color w:val="5B9BD5"/>
        </w:rPr>
        <w:lastRenderedPageBreak/>
        <w:t>Introduction</w:t>
      </w:r>
      <w:bookmarkEnd w:id="12"/>
    </w:p>
    <w:p w14:paraId="7422AAD5" w14:textId="64311CC3" w:rsidR="00353B0B" w:rsidRPr="00A157A0" w:rsidRDefault="002D3FFE" w:rsidP="00734134">
      <w:pPr>
        <w:pStyle w:val="Heading2"/>
      </w:pPr>
      <w:bookmarkStart w:id="13" w:name="_Toc448910857"/>
      <w:bookmarkStart w:id="14" w:name="_Toc453142515"/>
      <w:bookmarkStart w:id="15" w:name="_Toc453142708"/>
      <w:r w:rsidRPr="000F65E5">
        <w:t>Legislative Framework</w:t>
      </w:r>
      <w:bookmarkStart w:id="16" w:name="_Toc448910858"/>
      <w:bookmarkEnd w:id="13"/>
      <w:bookmarkEnd w:id="14"/>
      <w:bookmarkEnd w:id="15"/>
      <w:bookmarkEnd w:id="16"/>
    </w:p>
    <w:p w14:paraId="379F084C" w14:textId="0CE3E0A4" w:rsidR="0094752A" w:rsidRDefault="008E0CFF" w:rsidP="0006275C">
      <w:pPr>
        <w:spacing w:line="276" w:lineRule="auto"/>
        <w:jc w:val="both"/>
        <w:rPr>
          <w:rFonts w:eastAsia="Times New Roman"/>
          <w:lang w:eastAsia="en-US"/>
        </w:rPr>
      </w:pPr>
      <w:r>
        <w:rPr>
          <w:rFonts w:eastAsia="Times New Roman"/>
          <w:lang w:eastAsia="en-US"/>
        </w:rPr>
        <w:t>CCB follows the Capital Requirements Directive (CRD) and Capital Requirements Regulation (CRR) requirements as on shored by the UK</w:t>
      </w:r>
      <w:r w:rsidR="00A133AE">
        <w:rPr>
          <w:rFonts w:eastAsia="Times New Roman"/>
          <w:lang w:eastAsia="en-US"/>
        </w:rPr>
        <w:t>,</w:t>
      </w:r>
      <w:r>
        <w:rPr>
          <w:rFonts w:eastAsia="Times New Roman"/>
          <w:lang w:eastAsia="en-US"/>
        </w:rPr>
        <w:t xml:space="preserve"> effective 31-Dec-2020. These regulations lay down uniform rules concerning general prudential requirements that CRR firms in the United Kingdom shall comply.</w:t>
      </w:r>
    </w:p>
    <w:p w14:paraId="0D1A5559" w14:textId="77777777" w:rsidR="00E35821" w:rsidRDefault="00E35821" w:rsidP="0006275C">
      <w:pPr>
        <w:spacing w:line="276" w:lineRule="auto"/>
        <w:jc w:val="both"/>
        <w:rPr>
          <w:rFonts w:eastAsia="Times New Roman"/>
          <w:lang w:eastAsia="en-US"/>
        </w:rPr>
      </w:pPr>
    </w:p>
    <w:p w14:paraId="0082E929" w14:textId="34C809C5" w:rsidR="00F06BF5" w:rsidRDefault="00E35821" w:rsidP="0006275C">
      <w:pPr>
        <w:spacing w:line="276" w:lineRule="auto"/>
        <w:jc w:val="both"/>
        <w:rPr>
          <w:rFonts w:eastAsia="Times New Roman"/>
          <w:lang w:eastAsia="en-US"/>
        </w:rPr>
      </w:pPr>
      <w:r>
        <w:rPr>
          <w:rFonts w:eastAsia="Times New Roman"/>
          <w:lang w:eastAsia="en-US"/>
        </w:rPr>
        <w:t>CCB throughout this document has followed the Pillar 3 disclosure requirements as set out for CRR firms and complies with the requirements in accordance with Article 433c of the Disclosure section of the PRA Ruleboo</w:t>
      </w:r>
      <w:r w:rsidR="00055F98">
        <w:rPr>
          <w:rFonts w:eastAsia="Times New Roman"/>
          <w:lang w:eastAsia="en-US"/>
        </w:rPr>
        <w:t>k.</w:t>
      </w:r>
    </w:p>
    <w:p w14:paraId="5A799149" w14:textId="25547719" w:rsidR="00883A8A" w:rsidRPr="00217A42" w:rsidRDefault="009D1478" w:rsidP="00734134">
      <w:pPr>
        <w:pStyle w:val="Heading2"/>
      </w:pPr>
      <w:r w:rsidRPr="00217A42">
        <w:t>Ba</w:t>
      </w:r>
      <w:r w:rsidR="00C27F47" w:rsidRPr="00217A42">
        <w:t>sel Committee on Banking Supervision (BCBS)</w:t>
      </w:r>
    </w:p>
    <w:p w14:paraId="18B889D6" w14:textId="04001341" w:rsidR="00814F95" w:rsidRPr="000F65E5" w:rsidRDefault="00883A8A" w:rsidP="00F06BF5">
      <w:pPr>
        <w:spacing w:line="276" w:lineRule="auto"/>
        <w:jc w:val="both"/>
        <w:rPr>
          <w:rFonts w:eastAsia="Times New Roman"/>
          <w:lang w:eastAsia="en-US"/>
        </w:rPr>
      </w:pPr>
      <w:r>
        <w:t>Most of the global banking and insurance regulations have been initiated or inspired by the work of the Basel Committee on Banking Supervision and its so-called “Basel regulations”</w:t>
      </w:r>
      <w:r w:rsidR="00531418">
        <w:t xml:space="preserve">. </w:t>
      </w:r>
      <w:r w:rsidR="00A31060">
        <w:t>The three pillars of this regulation are as follows</w:t>
      </w:r>
      <w:r w:rsidR="00217A42">
        <w:rPr>
          <w:rFonts w:eastAsia="Times New Roman"/>
          <w:lang w:eastAsia="en-US"/>
        </w:rPr>
        <w:t xml:space="preserve">: </w:t>
      </w:r>
    </w:p>
    <w:p w14:paraId="687FF26B" w14:textId="77777777" w:rsidR="002D3FFE" w:rsidRPr="000F65E5" w:rsidRDefault="002D3FFE" w:rsidP="00F06BF5">
      <w:pPr>
        <w:spacing w:line="276" w:lineRule="auto"/>
        <w:jc w:val="both"/>
      </w:pPr>
    </w:p>
    <w:p w14:paraId="0F83E630" w14:textId="77777777" w:rsidR="002D3FFE" w:rsidRPr="000F65E5" w:rsidRDefault="002D3FFE" w:rsidP="00F06BF5">
      <w:pPr>
        <w:spacing w:line="276" w:lineRule="auto"/>
        <w:jc w:val="both"/>
        <w:rPr>
          <w:b/>
        </w:rPr>
      </w:pPr>
      <w:r w:rsidRPr="000F65E5">
        <w:rPr>
          <w:b/>
        </w:rPr>
        <w:t>Pillar 1</w:t>
      </w:r>
    </w:p>
    <w:p w14:paraId="522287D1" w14:textId="5A7366FE" w:rsidR="002D3FFE" w:rsidRPr="000F65E5" w:rsidRDefault="002D3FFE" w:rsidP="00F06BF5">
      <w:pPr>
        <w:autoSpaceDE w:val="0"/>
        <w:autoSpaceDN w:val="0"/>
        <w:adjustRightInd w:val="0"/>
        <w:spacing w:line="276" w:lineRule="auto"/>
        <w:jc w:val="both"/>
        <w:rPr>
          <w:rFonts w:eastAsia="Times New Roman"/>
          <w:lang w:eastAsia="en-US"/>
        </w:rPr>
      </w:pPr>
      <w:r w:rsidRPr="000F65E5">
        <w:rPr>
          <w:rFonts w:eastAsia="Times New Roman"/>
          <w:lang w:eastAsia="en-US"/>
        </w:rPr>
        <w:t xml:space="preserve">The first pillar focuses on the determination of minimum capital requirements to support exposures to credit risk, counterparty credit risk, credit valuation adjustment risk and operational risk. (See Section </w:t>
      </w:r>
      <w:r w:rsidR="00A05423">
        <w:rPr>
          <w:rFonts w:eastAsia="Times New Roman"/>
          <w:lang w:eastAsia="en-US"/>
        </w:rPr>
        <w:t>5</w:t>
      </w:r>
      <w:r w:rsidRPr="000F65E5">
        <w:rPr>
          <w:rFonts w:eastAsia="Times New Roman"/>
          <w:lang w:eastAsia="en-US"/>
        </w:rPr>
        <w:t>)</w:t>
      </w:r>
    </w:p>
    <w:p w14:paraId="3F0AF019" w14:textId="77777777" w:rsidR="002D3FFE" w:rsidRPr="000F65E5" w:rsidRDefault="002D3FFE" w:rsidP="00F06BF5">
      <w:pPr>
        <w:spacing w:line="276" w:lineRule="auto"/>
        <w:jc w:val="both"/>
      </w:pPr>
    </w:p>
    <w:p w14:paraId="21A9B2BF" w14:textId="77777777" w:rsidR="002D3FFE" w:rsidRPr="000F65E5" w:rsidRDefault="002D3FFE" w:rsidP="00F06BF5">
      <w:pPr>
        <w:spacing w:line="276" w:lineRule="auto"/>
        <w:jc w:val="both"/>
        <w:rPr>
          <w:b/>
        </w:rPr>
      </w:pPr>
      <w:r w:rsidRPr="000F65E5">
        <w:rPr>
          <w:b/>
        </w:rPr>
        <w:t xml:space="preserve">Pillar 2 </w:t>
      </w:r>
    </w:p>
    <w:p w14:paraId="063AFDB1" w14:textId="77777777" w:rsidR="002D3FFE" w:rsidRPr="000F65E5" w:rsidRDefault="002D3FFE" w:rsidP="00F06BF5">
      <w:pPr>
        <w:spacing w:line="276" w:lineRule="auto"/>
        <w:jc w:val="both"/>
      </w:pPr>
      <w:r w:rsidRPr="000F65E5">
        <w:rPr>
          <w:rFonts w:eastAsia="Times New Roman"/>
          <w:lang w:eastAsia="en-US"/>
        </w:rPr>
        <w:t>Pillar 2 addresses risks not covered in the Pillar 1 framework. To calculate its Pillar 2 capital requirements the Bank has performed a detailed assessment of the risks</w:t>
      </w:r>
      <w:r w:rsidRPr="000F65E5">
        <w:t xml:space="preserve"> </w:t>
      </w:r>
      <w:r w:rsidRPr="000F65E5">
        <w:rPr>
          <w:rFonts w:eastAsia="Times New Roman"/>
          <w:lang w:eastAsia="en-US"/>
        </w:rPr>
        <w:t>facing the Bank including the impact of a severe economic downturn. The Bank has calculated the amount of capital that it considers necessary to cover these risks within its Internal Capital Adequacy Assessment Process (ICAAP). The Bank’s ICAAP is reviewed and assessed by the PRA during its Supervisory Review and Evaluation Process.</w:t>
      </w:r>
      <w:r w:rsidRPr="000F65E5">
        <w:t xml:space="preserve"> </w:t>
      </w:r>
    </w:p>
    <w:p w14:paraId="20231A89" w14:textId="77777777" w:rsidR="002D3FFE" w:rsidRPr="000F65E5" w:rsidRDefault="002D3FFE" w:rsidP="00F06BF5">
      <w:pPr>
        <w:spacing w:line="276" w:lineRule="auto"/>
        <w:ind w:left="720"/>
        <w:jc w:val="both"/>
      </w:pPr>
    </w:p>
    <w:p w14:paraId="7DBDCC30" w14:textId="77777777" w:rsidR="002D3FFE" w:rsidRPr="000F65E5" w:rsidRDefault="002D3FFE" w:rsidP="00F06BF5">
      <w:pPr>
        <w:spacing w:line="276" w:lineRule="auto"/>
        <w:jc w:val="both"/>
        <w:rPr>
          <w:b/>
        </w:rPr>
      </w:pPr>
      <w:r w:rsidRPr="000F65E5">
        <w:rPr>
          <w:b/>
        </w:rPr>
        <w:t xml:space="preserve">Pillar 3 </w:t>
      </w:r>
    </w:p>
    <w:p w14:paraId="1889CC05" w14:textId="792BABE5" w:rsidR="00257A14" w:rsidRDefault="002D3FFE" w:rsidP="0006275C">
      <w:pPr>
        <w:spacing w:line="276" w:lineRule="auto"/>
        <w:jc w:val="both"/>
        <w:rPr>
          <w:rFonts w:eastAsia="Times New Roman"/>
          <w:lang w:eastAsia="en-US"/>
        </w:rPr>
      </w:pPr>
      <w:r w:rsidRPr="000F65E5">
        <w:rPr>
          <w:rFonts w:eastAsia="Times New Roman"/>
          <w:lang w:eastAsia="en-US"/>
        </w:rPr>
        <w:t xml:space="preserve">Pillar 3 complements Pillar 1 and Pillar 2 and sets out the disclosures that banks are required to make </w:t>
      </w:r>
      <w:proofErr w:type="gramStart"/>
      <w:r w:rsidRPr="000F65E5">
        <w:rPr>
          <w:rFonts w:eastAsia="Times New Roman"/>
          <w:lang w:eastAsia="en-US"/>
        </w:rPr>
        <w:t>in order to</w:t>
      </w:r>
      <w:proofErr w:type="gramEnd"/>
      <w:r w:rsidRPr="000F65E5">
        <w:rPr>
          <w:rFonts w:eastAsia="Times New Roman"/>
          <w:lang w:eastAsia="en-US"/>
        </w:rPr>
        <w:t xml:space="preserve"> promote market discipline through the external disclosure of its governance, capital resources, risk management objectives, remuneration and risk exposures. </w:t>
      </w:r>
      <w:r w:rsidRPr="0035773F">
        <w:rPr>
          <w:rFonts w:eastAsia="Times New Roman"/>
          <w:lang w:eastAsia="en-US"/>
        </w:rPr>
        <w:t>The Bank is required to publish its Pillar 3 report annually.</w:t>
      </w:r>
    </w:p>
    <w:p w14:paraId="3E4ECD6F" w14:textId="77777777" w:rsidR="00526468" w:rsidRPr="000F65E5" w:rsidRDefault="00526468" w:rsidP="00734134">
      <w:pPr>
        <w:pStyle w:val="Heading3"/>
      </w:pPr>
      <w:r w:rsidRPr="000F65E5">
        <w:t>Purpose</w:t>
      </w:r>
      <w:bookmarkStart w:id="17" w:name="_Toc448910854"/>
      <w:bookmarkEnd w:id="17"/>
      <w:r w:rsidRPr="000F65E5">
        <w:t xml:space="preserve"> </w:t>
      </w:r>
    </w:p>
    <w:p w14:paraId="60BCA5B0" w14:textId="3A773F5A" w:rsidR="00526468" w:rsidRPr="00A97C56" w:rsidRDefault="00526468" w:rsidP="00734134">
      <w:pPr>
        <w:pStyle w:val="Heading3"/>
        <w:rPr>
          <w:b w:val="0"/>
          <w:bCs w:val="0"/>
          <w:color w:val="auto"/>
          <w:lang w:eastAsia="en-US"/>
        </w:rPr>
      </w:pPr>
      <w:r w:rsidRPr="00A97C56">
        <w:rPr>
          <w:b w:val="0"/>
          <w:bCs w:val="0"/>
          <w:color w:val="auto"/>
          <w:lang w:eastAsia="en-US"/>
        </w:rPr>
        <w:t xml:space="preserve">The Pillar 3 disclosures on capital and risk management </w:t>
      </w:r>
      <w:r w:rsidR="00502C98" w:rsidRPr="00A97C56">
        <w:rPr>
          <w:b w:val="0"/>
          <w:bCs w:val="0"/>
          <w:color w:val="auto"/>
          <w:lang w:eastAsia="en-US"/>
        </w:rPr>
        <w:t>of</w:t>
      </w:r>
      <w:r w:rsidRPr="00A97C56">
        <w:rPr>
          <w:b w:val="0"/>
          <w:bCs w:val="0"/>
          <w:color w:val="auto"/>
          <w:lang w:eastAsia="en-US"/>
        </w:rPr>
        <w:t xml:space="preserve"> 31 December 202</w:t>
      </w:r>
      <w:r w:rsidR="009B684A" w:rsidRPr="00A97C56">
        <w:rPr>
          <w:b w:val="0"/>
          <w:bCs w:val="0"/>
          <w:color w:val="auto"/>
          <w:lang w:eastAsia="en-US"/>
        </w:rPr>
        <w:t>3</w:t>
      </w:r>
      <w:r w:rsidRPr="00A97C56">
        <w:rPr>
          <w:b w:val="0"/>
          <w:bCs w:val="0"/>
          <w:color w:val="auto"/>
          <w:lang w:eastAsia="en-US"/>
        </w:rPr>
        <w:t>, have two principal purposes:</w:t>
      </w:r>
    </w:p>
    <w:p w14:paraId="402D3B90" w14:textId="77777777" w:rsidR="00526468" w:rsidRPr="000F65E5" w:rsidRDefault="00526468" w:rsidP="00F06BF5">
      <w:pPr>
        <w:pStyle w:val="ListParagraph"/>
        <w:numPr>
          <w:ilvl w:val="0"/>
          <w:numId w:val="3"/>
        </w:numPr>
        <w:spacing w:line="276" w:lineRule="auto"/>
        <w:jc w:val="both"/>
        <w:rPr>
          <w:rFonts w:eastAsia="Times New Roman"/>
          <w:lang w:eastAsia="en-US"/>
        </w:rPr>
      </w:pPr>
      <w:r w:rsidRPr="000F65E5">
        <w:rPr>
          <w:rFonts w:eastAsia="Times New Roman"/>
          <w:lang w:eastAsia="en-US"/>
        </w:rPr>
        <w:t>To provide information on the policies and approach taken by CCB to risk management and the maintenance of its capital resources, including details of:</w:t>
      </w:r>
    </w:p>
    <w:p w14:paraId="2252C8FF" w14:textId="77777777" w:rsidR="00526468" w:rsidRPr="000F65E5" w:rsidRDefault="00526468" w:rsidP="00F06BF5">
      <w:pPr>
        <w:numPr>
          <w:ilvl w:val="0"/>
          <w:numId w:val="4"/>
        </w:numPr>
        <w:spacing w:line="276" w:lineRule="auto"/>
        <w:jc w:val="both"/>
        <w:rPr>
          <w:rFonts w:eastAsia="Times New Roman"/>
          <w:lang w:eastAsia="en-US"/>
        </w:rPr>
      </w:pPr>
      <w:r w:rsidRPr="000F65E5">
        <w:rPr>
          <w:rFonts w:eastAsia="Times New Roman"/>
          <w:lang w:eastAsia="en-US"/>
        </w:rPr>
        <w:t>The governance structure of the Bank; and</w:t>
      </w:r>
    </w:p>
    <w:p w14:paraId="5CF5B5A1" w14:textId="77777777" w:rsidR="00526468" w:rsidRPr="000F65E5" w:rsidRDefault="00526468" w:rsidP="00F06BF5">
      <w:pPr>
        <w:numPr>
          <w:ilvl w:val="0"/>
          <w:numId w:val="4"/>
        </w:numPr>
        <w:spacing w:line="276" w:lineRule="auto"/>
        <w:jc w:val="both"/>
        <w:rPr>
          <w:rFonts w:eastAsia="Times New Roman"/>
          <w:lang w:eastAsia="en-US"/>
        </w:rPr>
      </w:pPr>
      <w:r w:rsidRPr="000F65E5">
        <w:rPr>
          <w:rFonts w:eastAsia="Times New Roman"/>
          <w:lang w:eastAsia="en-US"/>
        </w:rPr>
        <w:t>Detailed information concerning the Bank’s assets and capital resources.</w:t>
      </w:r>
    </w:p>
    <w:p w14:paraId="5945B6E8" w14:textId="0BC63C29" w:rsidR="00526468" w:rsidRDefault="00526468" w:rsidP="00F06BF5">
      <w:pPr>
        <w:pStyle w:val="ListParagraph"/>
        <w:numPr>
          <w:ilvl w:val="0"/>
          <w:numId w:val="1"/>
        </w:numPr>
        <w:spacing w:line="276" w:lineRule="auto"/>
        <w:ind w:left="709"/>
        <w:jc w:val="both"/>
        <w:rPr>
          <w:rFonts w:eastAsia="Times New Roman"/>
          <w:lang w:eastAsia="en-US"/>
        </w:rPr>
      </w:pPr>
      <w:r w:rsidRPr="000F65E5">
        <w:rPr>
          <w:rFonts w:eastAsia="Times New Roman"/>
          <w:lang w:eastAsia="en-US"/>
        </w:rPr>
        <w:t>To meet the</w:t>
      </w:r>
      <w:r>
        <w:rPr>
          <w:rFonts w:eastAsia="Times New Roman"/>
          <w:lang w:eastAsia="en-US"/>
        </w:rPr>
        <w:t xml:space="preserve"> Pillar 3 </w:t>
      </w:r>
      <w:r w:rsidRPr="000F65E5">
        <w:rPr>
          <w:rFonts w:eastAsia="Times New Roman"/>
          <w:lang w:eastAsia="en-US"/>
        </w:rPr>
        <w:t xml:space="preserve">regulatory disclosure requirements under the </w:t>
      </w:r>
      <w:r>
        <w:rPr>
          <w:rFonts w:eastAsia="Times New Roman"/>
          <w:lang w:eastAsia="en-US"/>
        </w:rPr>
        <w:t>PRA rulebook effective 1</w:t>
      </w:r>
      <w:r w:rsidRPr="00A64BAF">
        <w:rPr>
          <w:rFonts w:eastAsia="Times New Roman"/>
          <w:vertAlign w:val="superscript"/>
          <w:lang w:eastAsia="en-US"/>
        </w:rPr>
        <w:t>st</w:t>
      </w:r>
      <w:r>
        <w:rPr>
          <w:rFonts w:eastAsia="Times New Roman"/>
          <w:lang w:eastAsia="en-US"/>
        </w:rPr>
        <w:t xml:space="preserve"> January 202</w:t>
      </w:r>
      <w:r w:rsidR="009B684A">
        <w:rPr>
          <w:rFonts w:eastAsia="Times New Roman"/>
          <w:lang w:eastAsia="en-US"/>
        </w:rPr>
        <w:t>3</w:t>
      </w:r>
      <w:r>
        <w:rPr>
          <w:rFonts w:eastAsia="Times New Roman"/>
          <w:lang w:eastAsia="en-US"/>
        </w:rPr>
        <w:t xml:space="preserve">. </w:t>
      </w:r>
    </w:p>
    <w:p w14:paraId="6286BED1" w14:textId="77777777" w:rsidR="00526468" w:rsidRPr="000F65E5" w:rsidRDefault="00526468" w:rsidP="00F06BF5">
      <w:pPr>
        <w:pStyle w:val="ListParagraph"/>
        <w:spacing w:line="276" w:lineRule="auto"/>
        <w:ind w:left="709"/>
        <w:jc w:val="both"/>
        <w:rPr>
          <w:rFonts w:eastAsia="Times New Roman"/>
          <w:lang w:eastAsia="en-US"/>
        </w:rPr>
      </w:pPr>
    </w:p>
    <w:p w14:paraId="778DF72C" w14:textId="65137548" w:rsidR="00F06BF5" w:rsidRPr="00F06BF5" w:rsidRDefault="00C72C26" w:rsidP="00F06BF5">
      <w:pPr>
        <w:spacing w:line="276" w:lineRule="auto"/>
        <w:jc w:val="both"/>
        <w:rPr>
          <w:rFonts w:eastAsia="Times New Roman"/>
          <w:lang w:eastAsia="en-US"/>
        </w:rPr>
      </w:pPr>
      <w:r w:rsidRPr="00C72C26">
        <w:rPr>
          <w:rFonts w:eastAsia="Times New Roman"/>
          <w:lang w:eastAsia="en-US"/>
        </w:rPr>
        <w:t>The Pillar 3</w:t>
      </w:r>
      <w:r w:rsidR="00526468" w:rsidRPr="00C72C26">
        <w:rPr>
          <w:rFonts w:eastAsia="Times New Roman"/>
          <w:lang w:eastAsia="en-US"/>
        </w:rPr>
        <w:t xml:space="preserve"> disclosures </w:t>
      </w:r>
      <w:r w:rsidRPr="00C72C26">
        <w:rPr>
          <w:rFonts w:eastAsia="Times New Roman"/>
          <w:lang w:eastAsia="en-US"/>
        </w:rPr>
        <w:t xml:space="preserve">should be read in conjunction with the </w:t>
      </w:r>
      <w:r w:rsidR="00526468" w:rsidRPr="00C72C26">
        <w:rPr>
          <w:rFonts w:eastAsia="Times New Roman"/>
          <w:lang w:eastAsia="en-US"/>
        </w:rPr>
        <w:t xml:space="preserve">Annual Report and Financial Statements </w:t>
      </w:r>
      <w:r w:rsidRPr="00C72C26">
        <w:rPr>
          <w:rFonts w:eastAsia="Times New Roman"/>
          <w:lang w:eastAsia="en-US"/>
        </w:rPr>
        <w:t>for the year ended December 202</w:t>
      </w:r>
      <w:r w:rsidR="009B684A">
        <w:rPr>
          <w:rFonts w:eastAsia="Times New Roman"/>
          <w:lang w:eastAsia="en-US"/>
        </w:rPr>
        <w:t>3</w:t>
      </w:r>
      <w:r w:rsidRPr="00C72C26">
        <w:rPr>
          <w:rFonts w:eastAsia="Times New Roman"/>
          <w:lang w:eastAsia="en-US"/>
        </w:rPr>
        <w:t>, published on CCBs website.</w:t>
      </w:r>
      <w:bookmarkStart w:id="18" w:name="_Toc448910859"/>
      <w:bookmarkStart w:id="19" w:name="_Toc453142516"/>
      <w:bookmarkStart w:id="20" w:name="_Toc453142709"/>
    </w:p>
    <w:p w14:paraId="7DA21116" w14:textId="5D75408E" w:rsidR="002D3FFE" w:rsidRPr="00645ED9" w:rsidRDefault="002D3FFE" w:rsidP="00734134">
      <w:pPr>
        <w:pStyle w:val="Heading2"/>
      </w:pPr>
      <w:r w:rsidRPr="00645ED9">
        <w:lastRenderedPageBreak/>
        <w:t>Scope of Application</w:t>
      </w:r>
      <w:bookmarkStart w:id="21" w:name="_Toc448910860"/>
      <w:bookmarkEnd w:id="18"/>
      <w:bookmarkEnd w:id="19"/>
      <w:bookmarkEnd w:id="20"/>
      <w:bookmarkEnd w:id="21"/>
    </w:p>
    <w:p w14:paraId="7E47F127" w14:textId="35402A2D" w:rsidR="002D3FFE" w:rsidRPr="001B53D7" w:rsidRDefault="002D3FFE" w:rsidP="00F06BF5">
      <w:pPr>
        <w:spacing w:line="276" w:lineRule="auto"/>
        <w:jc w:val="both"/>
        <w:rPr>
          <w:rFonts w:eastAsia="Times New Roman"/>
          <w:lang w:eastAsia="en-US"/>
        </w:rPr>
      </w:pPr>
      <w:r w:rsidRPr="001B53D7">
        <w:rPr>
          <w:rFonts w:eastAsia="Times New Roman"/>
          <w:lang w:eastAsia="en-US"/>
        </w:rPr>
        <w:t>All the figures, governance, objectives</w:t>
      </w:r>
      <w:r w:rsidR="004D0F30">
        <w:rPr>
          <w:rFonts w:eastAsia="Times New Roman"/>
          <w:lang w:eastAsia="en-US"/>
        </w:rPr>
        <w:t>,</w:t>
      </w:r>
      <w:r w:rsidRPr="001B53D7">
        <w:rPr>
          <w:rFonts w:eastAsia="Times New Roman"/>
          <w:lang w:eastAsia="en-US"/>
        </w:rPr>
        <w:t xml:space="preserve"> and policies included within this document are as </w:t>
      </w:r>
      <w:r w:rsidR="00502C98">
        <w:rPr>
          <w:rFonts w:eastAsia="Times New Roman"/>
          <w:lang w:eastAsia="en-US"/>
        </w:rPr>
        <w:t>of</w:t>
      </w:r>
      <w:r w:rsidRPr="001B53D7">
        <w:rPr>
          <w:rFonts w:eastAsia="Times New Roman"/>
          <w:lang w:eastAsia="en-US"/>
        </w:rPr>
        <w:t xml:space="preserve"> 31 December 20</w:t>
      </w:r>
      <w:r>
        <w:rPr>
          <w:rFonts w:eastAsia="Times New Roman"/>
          <w:lang w:eastAsia="en-US"/>
        </w:rPr>
        <w:t>2</w:t>
      </w:r>
      <w:r w:rsidR="007B5979">
        <w:rPr>
          <w:rFonts w:eastAsia="Times New Roman"/>
          <w:lang w:eastAsia="en-US"/>
        </w:rPr>
        <w:t>3</w:t>
      </w:r>
      <w:r w:rsidRPr="001B53D7">
        <w:rPr>
          <w:rFonts w:eastAsia="Times New Roman"/>
          <w:lang w:eastAsia="en-US"/>
        </w:rPr>
        <w:t xml:space="preserve"> (unless stated otherwise) and have been prepared to meet the disclosure requirements </w:t>
      </w:r>
      <w:r w:rsidR="00A550C8">
        <w:rPr>
          <w:rFonts w:eastAsia="Times New Roman"/>
          <w:lang w:eastAsia="en-US"/>
        </w:rPr>
        <w:t>under</w:t>
      </w:r>
      <w:r w:rsidR="00E71962">
        <w:rPr>
          <w:rFonts w:eastAsia="Times New Roman"/>
          <w:lang w:eastAsia="en-US"/>
        </w:rPr>
        <w:t xml:space="preserve"> PRA Rulebook for CRR firms</w:t>
      </w:r>
      <w:r w:rsidRPr="001B53D7">
        <w:rPr>
          <w:rFonts w:eastAsia="Times New Roman"/>
          <w:lang w:eastAsia="en-US"/>
        </w:rPr>
        <w:t>.</w:t>
      </w:r>
      <w:r w:rsidR="008C18A8">
        <w:rPr>
          <w:rFonts w:eastAsia="Times New Roman"/>
          <w:lang w:eastAsia="en-US"/>
        </w:rPr>
        <w:t xml:space="preserve"> </w:t>
      </w:r>
      <w:r w:rsidRPr="001B53D7">
        <w:rPr>
          <w:rFonts w:eastAsia="Times New Roman"/>
          <w:lang w:eastAsia="en-US"/>
        </w:rPr>
        <w:t xml:space="preserve">The Pillar 3 report disclosures are issued on an annual basis </w:t>
      </w:r>
      <w:r>
        <w:rPr>
          <w:rFonts w:eastAsia="Times New Roman"/>
          <w:lang w:eastAsia="en-US"/>
        </w:rPr>
        <w:t xml:space="preserve">and are </w:t>
      </w:r>
      <w:r w:rsidRPr="001B53D7">
        <w:rPr>
          <w:rFonts w:eastAsia="Times New Roman"/>
          <w:lang w:eastAsia="en-US"/>
        </w:rPr>
        <w:t xml:space="preserve">based upon the Bank’s annual report and </w:t>
      </w:r>
      <w:r w:rsidR="00E11738">
        <w:rPr>
          <w:rFonts w:eastAsia="Times New Roman"/>
          <w:lang w:eastAsia="en-US"/>
        </w:rPr>
        <w:t>F</w:t>
      </w:r>
      <w:r w:rsidRPr="001B53D7">
        <w:rPr>
          <w:rFonts w:eastAsia="Times New Roman"/>
          <w:lang w:eastAsia="en-US"/>
        </w:rPr>
        <w:t xml:space="preserve">inancial </w:t>
      </w:r>
      <w:r w:rsidR="00E11738">
        <w:rPr>
          <w:rFonts w:eastAsia="Times New Roman"/>
          <w:lang w:eastAsia="en-US"/>
        </w:rPr>
        <w:t>S</w:t>
      </w:r>
      <w:r w:rsidRPr="001B53D7">
        <w:rPr>
          <w:rFonts w:eastAsia="Times New Roman"/>
          <w:lang w:eastAsia="en-US"/>
        </w:rPr>
        <w:t>tatements for the year ended 31 December 20</w:t>
      </w:r>
      <w:r>
        <w:rPr>
          <w:rFonts w:eastAsia="Times New Roman"/>
          <w:lang w:eastAsia="en-US"/>
        </w:rPr>
        <w:t>2</w:t>
      </w:r>
      <w:r w:rsidR="007B5979">
        <w:rPr>
          <w:rFonts w:eastAsia="Times New Roman"/>
          <w:lang w:eastAsia="en-US"/>
        </w:rPr>
        <w:t>3</w:t>
      </w:r>
      <w:r w:rsidRPr="001B53D7">
        <w:rPr>
          <w:rFonts w:eastAsia="Times New Roman"/>
          <w:lang w:eastAsia="en-US"/>
        </w:rPr>
        <w:t xml:space="preserve">. </w:t>
      </w:r>
    </w:p>
    <w:p w14:paraId="28FB7242" w14:textId="77777777" w:rsidR="002D3FFE" w:rsidRPr="001B53D7" w:rsidRDefault="002D3FFE" w:rsidP="00F06BF5">
      <w:pPr>
        <w:spacing w:line="276" w:lineRule="auto"/>
        <w:jc w:val="both"/>
        <w:rPr>
          <w:rFonts w:eastAsia="Times New Roman"/>
          <w:lang w:eastAsia="en-US"/>
        </w:rPr>
      </w:pPr>
    </w:p>
    <w:p w14:paraId="70994C9C" w14:textId="096A705E" w:rsidR="00F06BF5" w:rsidRPr="00C73104" w:rsidRDefault="002D3FFE" w:rsidP="00C73104">
      <w:pPr>
        <w:spacing w:line="276" w:lineRule="auto"/>
        <w:jc w:val="both"/>
        <w:rPr>
          <w:rFonts w:eastAsia="Times New Roman"/>
          <w:lang w:eastAsia="en-US"/>
        </w:rPr>
      </w:pPr>
      <w:r w:rsidRPr="001B53D7">
        <w:rPr>
          <w:rFonts w:eastAsia="Times New Roman"/>
          <w:lang w:eastAsia="en-US"/>
        </w:rPr>
        <w:t xml:space="preserve">These disclosures have been reviewed by the </w:t>
      </w:r>
      <w:r>
        <w:rPr>
          <w:rFonts w:eastAsia="Times New Roman"/>
          <w:lang w:eastAsia="en-US"/>
        </w:rPr>
        <w:t xml:space="preserve">Bank’s Audit </w:t>
      </w:r>
      <w:r w:rsidRPr="001B53D7">
        <w:rPr>
          <w:rFonts w:eastAsia="Times New Roman"/>
          <w:lang w:eastAsia="en-US"/>
        </w:rPr>
        <w:t>Committee and approved by the Board. The disclosures are not subject to external audit, although some of the information within the disclosures also appears in the audited 20</w:t>
      </w:r>
      <w:r>
        <w:rPr>
          <w:rFonts w:eastAsia="Times New Roman"/>
          <w:lang w:eastAsia="en-US"/>
        </w:rPr>
        <w:t>2</w:t>
      </w:r>
      <w:r w:rsidR="007B5979">
        <w:rPr>
          <w:rFonts w:eastAsia="Times New Roman"/>
          <w:lang w:eastAsia="en-US"/>
        </w:rPr>
        <w:t>3</w:t>
      </w:r>
      <w:r w:rsidRPr="001B53D7">
        <w:rPr>
          <w:rFonts w:eastAsia="Times New Roman"/>
          <w:lang w:eastAsia="en-US"/>
        </w:rPr>
        <w:t xml:space="preserve"> </w:t>
      </w:r>
      <w:r w:rsidR="00E11738">
        <w:rPr>
          <w:rFonts w:eastAsia="Times New Roman"/>
          <w:lang w:eastAsia="en-US"/>
        </w:rPr>
        <w:t>F</w:t>
      </w:r>
      <w:r w:rsidRPr="001B53D7">
        <w:rPr>
          <w:rFonts w:eastAsia="Times New Roman"/>
          <w:lang w:eastAsia="en-US"/>
        </w:rPr>
        <w:t xml:space="preserve">inancial </w:t>
      </w:r>
      <w:r w:rsidR="00E11738">
        <w:rPr>
          <w:rFonts w:eastAsia="Times New Roman"/>
          <w:lang w:eastAsia="en-US"/>
        </w:rPr>
        <w:t>S</w:t>
      </w:r>
      <w:r w:rsidRPr="001B53D7">
        <w:rPr>
          <w:rFonts w:eastAsia="Times New Roman"/>
          <w:lang w:eastAsia="en-US"/>
        </w:rPr>
        <w:t>tatements. The processes for preparing this disclosure are laid out in the Bank’s Pillar 3 Disclosures policy.</w:t>
      </w:r>
      <w:bookmarkStart w:id="22" w:name="_Toc3388772"/>
      <w:bookmarkStart w:id="23" w:name="_Toc3388773"/>
      <w:bookmarkEnd w:id="22"/>
      <w:bookmarkEnd w:id="23"/>
    </w:p>
    <w:p w14:paraId="28752936" w14:textId="713DF2D2" w:rsidR="002D3FFE" w:rsidRPr="00645ED9" w:rsidRDefault="002D3FFE" w:rsidP="00734134">
      <w:pPr>
        <w:pStyle w:val="Heading2"/>
      </w:pPr>
      <w:r w:rsidRPr="00645ED9">
        <w:t>Publication</w:t>
      </w:r>
    </w:p>
    <w:p w14:paraId="1F36669E" w14:textId="49514CF9" w:rsidR="00F06BF5" w:rsidRPr="00C73104" w:rsidRDefault="002D3FFE" w:rsidP="00C73104">
      <w:pPr>
        <w:spacing w:line="276" w:lineRule="auto"/>
        <w:jc w:val="both"/>
        <w:rPr>
          <w:rFonts w:eastAsia="Times New Roman"/>
          <w:lang w:eastAsia="en-US"/>
        </w:rPr>
      </w:pPr>
      <w:r w:rsidRPr="001B53D7">
        <w:rPr>
          <w:rFonts w:eastAsia="Times New Roman"/>
          <w:lang w:eastAsia="en-US"/>
        </w:rPr>
        <w:t xml:space="preserve">The disclosures are published on the Bank’s website: </w:t>
      </w:r>
      <w:hyperlink r:id="rId13" w:history="1">
        <w:r w:rsidR="00DD545A" w:rsidRPr="007C1228">
          <w:rPr>
            <w:rFonts w:cstheme="minorHAnsi"/>
          </w:rPr>
          <w:t>https://ccbank.co.uk/about-us/annualresults/</w:t>
        </w:r>
      </w:hyperlink>
    </w:p>
    <w:p w14:paraId="6306A8C3" w14:textId="25ADFFAD" w:rsidR="00F72163" w:rsidRDefault="00C33C41" w:rsidP="00734134">
      <w:pPr>
        <w:pStyle w:val="Heading2"/>
      </w:pPr>
      <w:r>
        <w:t>R</w:t>
      </w:r>
      <w:r w:rsidR="00F72163">
        <w:t>egula</w:t>
      </w:r>
      <w:r>
        <w:t>tory changes</w:t>
      </w:r>
    </w:p>
    <w:p w14:paraId="4A2BC754" w14:textId="763121D3" w:rsidR="00B302F6" w:rsidRDefault="008D1142" w:rsidP="00F06BF5">
      <w:pPr>
        <w:spacing w:line="276" w:lineRule="auto"/>
        <w:jc w:val="both"/>
      </w:pPr>
      <w:r>
        <w:t>The regulatory landscape has remained relatively unchanged during 2023, with the next significant change</w:t>
      </w:r>
      <w:r w:rsidR="00B302F6">
        <w:t xml:space="preserve"> </w:t>
      </w:r>
      <w:r>
        <w:t>expected with the implementation of Basel 3.1</w:t>
      </w:r>
      <w:r w:rsidR="00B302F6">
        <w:t xml:space="preserve">, effective 1 July 2025. </w:t>
      </w:r>
      <w:r>
        <w:t>The PRA has issued their near</w:t>
      </w:r>
      <w:r w:rsidR="00E86163">
        <w:t>-final</w:t>
      </w:r>
      <w:r>
        <w:t xml:space="preserve"> policy statements on Basel 3.1</w:t>
      </w:r>
      <w:r w:rsidR="00B302F6">
        <w:t xml:space="preserve"> – Part 1</w:t>
      </w:r>
      <w:r>
        <w:t xml:space="preserve"> and the </w:t>
      </w:r>
      <w:r w:rsidR="00B302F6">
        <w:t xml:space="preserve">Small Domestic Deposit Taker (SDDT). </w:t>
      </w:r>
    </w:p>
    <w:p w14:paraId="2D667C64" w14:textId="77777777" w:rsidR="00B302F6" w:rsidRDefault="00B302F6" w:rsidP="00F06BF5">
      <w:pPr>
        <w:spacing w:line="276" w:lineRule="auto"/>
        <w:jc w:val="both"/>
      </w:pPr>
    </w:p>
    <w:p w14:paraId="5A39AF48" w14:textId="107C5470" w:rsidR="00C33C41" w:rsidRDefault="00B302F6" w:rsidP="00C73104">
      <w:pPr>
        <w:spacing w:line="276" w:lineRule="auto"/>
        <w:jc w:val="both"/>
      </w:pPr>
      <w:r>
        <w:rPr>
          <w:rFonts w:cstheme="minorHAnsi"/>
        </w:rPr>
        <w:t>CCB</w:t>
      </w:r>
      <w:r w:rsidRPr="001921E1">
        <w:rPr>
          <w:rFonts w:cstheme="minorHAnsi"/>
        </w:rPr>
        <w:t xml:space="preserve"> awaits the publication of the final Basel regulations in mid-2024 before completing its preparations for the change to the new framework.</w:t>
      </w:r>
      <w:r w:rsidR="008D1142">
        <w:t xml:space="preserve"> </w:t>
      </w:r>
    </w:p>
    <w:p w14:paraId="675D7CB3" w14:textId="09F3A4D1" w:rsidR="002D3FFE" w:rsidRPr="00645ED9" w:rsidRDefault="002D3FFE" w:rsidP="00734134">
      <w:pPr>
        <w:pStyle w:val="Heading2"/>
      </w:pPr>
      <w:r w:rsidRPr="00645ED9">
        <w:t>Policy, Verification, Sign Off and Contact Details</w:t>
      </w:r>
    </w:p>
    <w:p w14:paraId="0885D591" w14:textId="0294F683" w:rsidR="002D3FFE" w:rsidRPr="001B53D7" w:rsidRDefault="002D3FFE" w:rsidP="00F06BF5">
      <w:pPr>
        <w:spacing w:line="276" w:lineRule="auto"/>
        <w:jc w:val="both"/>
        <w:rPr>
          <w:rFonts w:eastAsia="Times New Roman"/>
          <w:lang w:eastAsia="en-US"/>
        </w:rPr>
      </w:pPr>
      <w:r w:rsidRPr="001B53D7">
        <w:rPr>
          <w:rFonts w:eastAsia="Times New Roman"/>
          <w:lang w:eastAsia="en-US"/>
        </w:rPr>
        <w:t xml:space="preserve">The Bank’s Pillar 3 disclosures have been verified and approved through internal governance procedures in line with the Bank’s Pillar 3 Disclosure Policy. The Board reviewed </w:t>
      </w:r>
      <w:r w:rsidRPr="0058269B">
        <w:rPr>
          <w:rFonts w:eastAsia="Times New Roman"/>
          <w:lang w:eastAsia="en-US"/>
        </w:rPr>
        <w:t xml:space="preserve">and approved the disclosures in </w:t>
      </w:r>
      <w:r w:rsidRPr="00EB179B">
        <w:rPr>
          <w:rFonts w:eastAsia="Times New Roman"/>
          <w:lang w:eastAsia="en-US"/>
        </w:rPr>
        <w:t>March 202</w:t>
      </w:r>
      <w:r w:rsidR="007B5979">
        <w:rPr>
          <w:rFonts w:eastAsia="Times New Roman"/>
          <w:lang w:eastAsia="en-US"/>
        </w:rPr>
        <w:t>4</w:t>
      </w:r>
      <w:r w:rsidRPr="00EB179B">
        <w:rPr>
          <w:rFonts w:eastAsia="Times New Roman"/>
          <w:lang w:eastAsia="en-US"/>
        </w:rPr>
        <w:t>.</w:t>
      </w:r>
    </w:p>
    <w:p w14:paraId="115EDCCB" w14:textId="77777777" w:rsidR="002D3FFE" w:rsidRPr="009520C8" w:rsidRDefault="002D3FFE" w:rsidP="0006275C">
      <w:pPr>
        <w:jc w:val="both"/>
      </w:pPr>
    </w:p>
    <w:p w14:paraId="7F49054D" w14:textId="77777777" w:rsidR="002D3FFE" w:rsidRPr="009520C8" w:rsidRDefault="002D3FFE" w:rsidP="0006275C">
      <w:pPr>
        <w:jc w:val="both"/>
      </w:pPr>
      <w:r w:rsidRPr="009520C8">
        <w:t>Cambridge &amp; Counties Bank Limited</w:t>
      </w:r>
    </w:p>
    <w:p w14:paraId="2F5D4599" w14:textId="77777777" w:rsidR="002D3FFE" w:rsidRPr="009520C8" w:rsidRDefault="002D3FFE" w:rsidP="0006275C">
      <w:pPr>
        <w:jc w:val="both"/>
      </w:pPr>
      <w:r w:rsidRPr="009520C8">
        <w:t>Charnwood Court</w:t>
      </w:r>
    </w:p>
    <w:p w14:paraId="2843C458" w14:textId="77777777" w:rsidR="002D3FFE" w:rsidRPr="009520C8" w:rsidRDefault="002D3FFE" w:rsidP="0006275C">
      <w:pPr>
        <w:jc w:val="both"/>
      </w:pPr>
      <w:r w:rsidRPr="009520C8">
        <w:t>5B New Walk</w:t>
      </w:r>
    </w:p>
    <w:p w14:paraId="4AD01B91" w14:textId="77777777" w:rsidR="002D3FFE" w:rsidRPr="009520C8" w:rsidRDefault="002D3FFE" w:rsidP="0006275C">
      <w:pPr>
        <w:jc w:val="both"/>
      </w:pPr>
      <w:r w:rsidRPr="009520C8">
        <w:t>Leicester</w:t>
      </w:r>
    </w:p>
    <w:p w14:paraId="2CBE5AF9" w14:textId="77777777" w:rsidR="002D3FFE" w:rsidRPr="009520C8" w:rsidRDefault="002D3FFE" w:rsidP="0006275C">
      <w:pPr>
        <w:jc w:val="both"/>
      </w:pPr>
      <w:r w:rsidRPr="009520C8">
        <w:t>LE1 6TE</w:t>
      </w:r>
    </w:p>
    <w:p w14:paraId="1DB4DF5F" w14:textId="77777777" w:rsidR="002D3FFE" w:rsidRPr="009520C8" w:rsidRDefault="002D3FFE" w:rsidP="0006275C">
      <w:pPr>
        <w:jc w:val="both"/>
      </w:pPr>
    </w:p>
    <w:p w14:paraId="3EE9FBFB" w14:textId="4F02D6DB" w:rsidR="002D3FFE" w:rsidRPr="009520C8" w:rsidRDefault="002D3FFE" w:rsidP="0006275C">
      <w:pPr>
        <w:jc w:val="both"/>
      </w:pPr>
      <w:r w:rsidRPr="009520C8">
        <w:t xml:space="preserve">Telephone: </w:t>
      </w:r>
      <w:r w:rsidRPr="009520C8">
        <w:tab/>
        <w:t>0344 225</w:t>
      </w:r>
      <w:r w:rsidR="00DD545A">
        <w:t xml:space="preserve"> </w:t>
      </w:r>
      <w:r w:rsidRPr="009520C8">
        <w:t>3939</w:t>
      </w:r>
    </w:p>
    <w:p w14:paraId="31749610" w14:textId="77777777" w:rsidR="002D3FFE" w:rsidRPr="009520C8" w:rsidRDefault="002D3FFE" w:rsidP="0006275C">
      <w:pPr>
        <w:jc w:val="both"/>
      </w:pPr>
      <w:r w:rsidRPr="009520C8">
        <w:t>Email:</w:t>
      </w:r>
      <w:r w:rsidRPr="009520C8">
        <w:tab/>
      </w:r>
      <w:r w:rsidRPr="009520C8">
        <w:tab/>
      </w:r>
      <w:hyperlink r:id="rId14" w:history="1">
        <w:r w:rsidRPr="009520C8">
          <w:rPr>
            <w:rStyle w:val="Hyperlink"/>
          </w:rPr>
          <w:t>Info@ccbank.co.uk</w:t>
        </w:r>
      </w:hyperlink>
    </w:p>
    <w:p w14:paraId="0E5097D1" w14:textId="53B9981E" w:rsidR="0034330E" w:rsidRDefault="002D3FFE" w:rsidP="0006275C">
      <w:pPr>
        <w:jc w:val="both"/>
        <w:rPr>
          <w:rStyle w:val="Hyperlink"/>
        </w:rPr>
      </w:pPr>
      <w:r w:rsidRPr="009520C8">
        <w:t>Web site:</w:t>
      </w:r>
      <w:r w:rsidRPr="009520C8">
        <w:tab/>
      </w:r>
      <w:hyperlink r:id="rId15" w:history="1">
        <w:r w:rsidRPr="009520C8">
          <w:rPr>
            <w:rStyle w:val="Hyperlink"/>
          </w:rPr>
          <w:t>www.ccbank.co.uk</w:t>
        </w:r>
      </w:hyperlink>
    </w:p>
    <w:p w14:paraId="66E4E9E4" w14:textId="2BE17C4A" w:rsidR="00C72C26" w:rsidRPr="00C72C26" w:rsidRDefault="00C72C26" w:rsidP="00C72C26">
      <w:pPr>
        <w:spacing w:after="160" w:line="259" w:lineRule="auto"/>
        <w:rPr>
          <w:color w:val="0000FF"/>
          <w:u w:val="single"/>
        </w:rPr>
      </w:pPr>
      <w:r>
        <w:rPr>
          <w:rStyle w:val="Hyperlink"/>
        </w:rPr>
        <w:br w:type="page"/>
      </w:r>
    </w:p>
    <w:p w14:paraId="4F9C6E87" w14:textId="39B32D92" w:rsidR="002D3FFE" w:rsidRPr="00645ED9" w:rsidRDefault="002D3FFE" w:rsidP="00877E68">
      <w:pPr>
        <w:pStyle w:val="Heading1"/>
        <w:numPr>
          <w:ilvl w:val="0"/>
          <w:numId w:val="25"/>
        </w:numPr>
        <w:jc w:val="both"/>
        <w:rPr>
          <w:color w:val="5B9BD5"/>
        </w:rPr>
      </w:pPr>
      <w:bookmarkStart w:id="24" w:name="_Toc448910863"/>
      <w:bookmarkStart w:id="25" w:name="_Toc448912288"/>
      <w:bookmarkStart w:id="26" w:name="_Toc357688431"/>
      <w:bookmarkStart w:id="27" w:name="_Toc453142518"/>
      <w:bookmarkStart w:id="28" w:name="_Toc475435274"/>
      <w:bookmarkStart w:id="29" w:name="_Toc166676699"/>
      <w:r w:rsidRPr="00645ED9">
        <w:rPr>
          <w:color w:val="5B9BD5"/>
        </w:rPr>
        <w:lastRenderedPageBreak/>
        <w:t>Governance and Committees</w:t>
      </w:r>
      <w:bookmarkEnd w:id="24"/>
      <w:bookmarkEnd w:id="25"/>
      <w:bookmarkEnd w:id="26"/>
      <w:bookmarkEnd w:id="27"/>
      <w:bookmarkEnd w:id="28"/>
      <w:bookmarkEnd w:id="29"/>
    </w:p>
    <w:p w14:paraId="3F491200" w14:textId="77777777" w:rsidR="002D3FFE" w:rsidRPr="00645ED9" w:rsidRDefault="002D3FFE" w:rsidP="00734134">
      <w:pPr>
        <w:pStyle w:val="Heading2"/>
      </w:pPr>
      <w:r w:rsidRPr="00645ED9">
        <w:t>How the business is managed</w:t>
      </w:r>
    </w:p>
    <w:p w14:paraId="7144657C" w14:textId="77777777" w:rsidR="002D3FFE" w:rsidRDefault="002D3FFE" w:rsidP="0006275C">
      <w:pPr>
        <w:spacing w:line="276" w:lineRule="auto"/>
        <w:jc w:val="both"/>
        <w:rPr>
          <w:rFonts w:eastAsia="Times New Roman"/>
          <w:lang w:eastAsia="en-US"/>
        </w:rPr>
      </w:pPr>
      <w:r w:rsidRPr="005422F1">
        <w:rPr>
          <w:rFonts w:eastAsia="Times New Roman"/>
          <w:lang w:eastAsia="en-US"/>
        </w:rPr>
        <w:t>Design and operation of a robust corporate governance framework is critical to meeting the needs</w:t>
      </w:r>
      <w:r>
        <w:rPr>
          <w:rFonts w:eastAsia="Times New Roman"/>
          <w:lang w:eastAsia="en-US"/>
        </w:rPr>
        <w:t xml:space="preserve"> </w:t>
      </w:r>
      <w:r w:rsidRPr="005422F1">
        <w:rPr>
          <w:rFonts w:eastAsia="Times New Roman"/>
          <w:lang w:eastAsia="en-US"/>
        </w:rPr>
        <w:t>of all the Bank’s stakeholders. The Bank has a well-established corporate governance structure, and</w:t>
      </w:r>
      <w:r>
        <w:rPr>
          <w:rFonts w:eastAsia="Times New Roman"/>
          <w:lang w:eastAsia="en-US"/>
        </w:rPr>
        <w:t xml:space="preserve"> </w:t>
      </w:r>
      <w:r w:rsidRPr="005422F1">
        <w:rPr>
          <w:rFonts w:eastAsia="Times New Roman"/>
          <w:lang w:eastAsia="en-US"/>
        </w:rPr>
        <w:t>the Board supports the principles of good corporate governance as set out in the UK Corporate</w:t>
      </w:r>
      <w:r>
        <w:rPr>
          <w:rFonts w:eastAsia="Times New Roman"/>
          <w:lang w:eastAsia="en-US"/>
        </w:rPr>
        <w:t xml:space="preserve"> </w:t>
      </w:r>
      <w:r w:rsidRPr="005422F1">
        <w:rPr>
          <w:rFonts w:eastAsia="Times New Roman"/>
          <w:lang w:eastAsia="en-US"/>
        </w:rPr>
        <w:t xml:space="preserve">Governance Code. Whilst the Bank is exempt from </w:t>
      </w:r>
      <w:proofErr w:type="gramStart"/>
      <w:r w:rsidRPr="005422F1">
        <w:rPr>
          <w:rFonts w:eastAsia="Times New Roman"/>
          <w:lang w:eastAsia="en-US"/>
        </w:rPr>
        <w:t>a number of</w:t>
      </w:r>
      <w:proofErr w:type="gramEnd"/>
      <w:r w:rsidRPr="005422F1">
        <w:rPr>
          <w:rFonts w:eastAsia="Times New Roman"/>
          <w:lang w:eastAsia="en-US"/>
        </w:rPr>
        <w:t xml:space="preserve"> the provisions due to it not being a</w:t>
      </w:r>
      <w:r>
        <w:rPr>
          <w:rFonts w:eastAsia="Times New Roman"/>
          <w:lang w:eastAsia="en-US"/>
        </w:rPr>
        <w:t xml:space="preserve"> </w:t>
      </w:r>
      <w:r w:rsidRPr="005422F1">
        <w:rPr>
          <w:rFonts w:eastAsia="Times New Roman"/>
          <w:lang w:eastAsia="en-US"/>
        </w:rPr>
        <w:t>listed entity, and its overall size in terms of employee numbers, it has reviewed the requirements and</w:t>
      </w:r>
      <w:r>
        <w:rPr>
          <w:rFonts w:eastAsia="Times New Roman"/>
          <w:lang w:eastAsia="en-US"/>
        </w:rPr>
        <w:t xml:space="preserve"> </w:t>
      </w:r>
      <w:r w:rsidRPr="005422F1">
        <w:rPr>
          <w:rFonts w:eastAsia="Times New Roman"/>
          <w:lang w:eastAsia="en-US"/>
        </w:rPr>
        <w:t>will ensure that its governance processes continue to follow best practice. The Board believe that</w:t>
      </w:r>
      <w:r>
        <w:rPr>
          <w:rFonts w:eastAsia="Times New Roman"/>
          <w:lang w:eastAsia="en-US"/>
        </w:rPr>
        <w:t xml:space="preserve"> </w:t>
      </w:r>
      <w:r w:rsidRPr="005422F1">
        <w:rPr>
          <w:rFonts w:eastAsia="Times New Roman"/>
          <w:lang w:eastAsia="en-US"/>
        </w:rPr>
        <w:t>its existing governance processes are appropriate for the current size and structure of the Bank.</w:t>
      </w:r>
    </w:p>
    <w:p w14:paraId="21470B43" w14:textId="77777777" w:rsidR="002D3FFE" w:rsidRPr="00914E86" w:rsidRDefault="002D3FFE" w:rsidP="0006275C">
      <w:pPr>
        <w:jc w:val="both"/>
        <w:rPr>
          <w:rFonts w:eastAsia="Times New Roman"/>
          <w:lang w:eastAsia="en-US"/>
        </w:rPr>
      </w:pPr>
    </w:p>
    <w:p w14:paraId="3D87D47E" w14:textId="77777777" w:rsidR="002D3FFE" w:rsidRPr="00645ED9" w:rsidRDefault="002D3FFE" w:rsidP="0006275C">
      <w:pPr>
        <w:jc w:val="both"/>
        <w:rPr>
          <w:rFonts w:cstheme="minorHAnsi"/>
          <w:b/>
          <w:bCs/>
          <w:color w:val="5B9BD5"/>
        </w:rPr>
      </w:pPr>
      <w:bookmarkStart w:id="30" w:name="_Hlk63370959"/>
      <w:r w:rsidRPr="00645ED9">
        <w:rPr>
          <w:rFonts w:cstheme="minorHAnsi"/>
          <w:b/>
          <w:bCs/>
          <w:color w:val="5B9BD5"/>
        </w:rPr>
        <w:t>Structure of the Board and Board Committees</w:t>
      </w:r>
    </w:p>
    <w:p w14:paraId="1EEFC6BC" w14:textId="77777777" w:rsidR="002D3FFE" w:rsidRPr="00B7364B" w:rsidRDefault="002D3FFE" w:rsidP="0006275C">
      <w:pPr>
        <w:jc w:val="both"/>
        <w:rPr>
          <w:rFonts w:cstheme="minorHAnsi"/>
          <w:b/>
          <w:bCs/>
          <w:color w:val="4F81BD"/>
        </w:rPr>
      </w:pPr>
    </w:p>
    <w:bookmarkEnd w:id="30"/>
    <w:p w14:paraId="34C1F41C" w14:textId="35C56DA4" w:rsidR="00343D38" w:rsidRPr="007D3FDF" w:rsidRDefault="00343D38" w:rsidP="00F06BF5">
      <w:pPr>
        <w:spacing w:after="120" w:line="276" w:lineRule="auto"/>
        <w:jc w:val="both"/>
        <w:rPr>
          <w:rFonts w:cstheme="minorHAnsi"/>
        </w:rPr>
      </w:pPr>
      <w:r w:rsidRPr="00673813">
        <w:rPr>
          <w:rFonts w:cstheme="minorHAnsi"/>
        </w:rPr>
        <w:t xml:space="preserve">The Board has overall responsibility for the operations of the Bank and is comprised of four independent </w:t>
      </w:r>
      <w:r w:rsidR="00E11738">
        <w:rPr>
          <w:rFonts w:cstheme="minorHAnsi"/>
        </w:rPr>
        <w:t>N</w:t>
      </w:r>
      <w:r w:rsidRPr="00673813">
        <w:rPr>
          <w:rFonts w:cstheme="minorHAnsi"/>
        </w:rPr>
        <w:t>on-</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 xml:space="preserve">irectors and two </w:t>
      </w:r>
      <w:r w:rsidR="00E11738">
        <w:rPr>
          <w:rFonts w:cstheme="minorHAnsi"/>
        </w:rPr>
        <w:t>N</w:t>
      </w:r>
      <w:r w:rsidRPr="00673813">
        <w:rPr>
          <w:rFonts w:cstheme="minorHAnsi"/>
        </w:rPr>
        <w:t>on-</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 xml:space="preserve">irectors representing the interests of the owners.  The </w:t>
      </w:r>
      <w:r w:rsidR="00264A8C">
        <w:rPr>
          <w:rFonts w:cstheme="minorHAnsi"/>
        </w:rPr>
        <w:t>N</w:t>
      </w:r>
      <w:r w:rsidRPr="00673813">
        <w:rPr>
          <w:rFonts w:cstheme="minorHAnsi"/>
        </w:rPr>
        <w:t>on-</w:t>
      </w:r>
      <w:r w:rsidR="00264A8C">
        <w:rPr>
          <w:rFonts w:cstheme="minorHAnsi"/>
        </w:rPr>
        <w:t>E</w:t>
      </w:r>
      <w:r w:rsidRPr="00673813">
        <w:rPr>
          <w:rFonts w:cstheme="minorHAnsi"/>
        </w:rPr>
        <w:t xml:space="preserve">xecutives are currently complemented by </w:t>
      </w:r>
      <w:r w:rsidR="004D0F30">
        <w:rPr>
          <w:rFonts w:cstheme="minorHAnsi"/>
        </w:rPr>
        <w:t>three</w:t>
      </w:r>
      <w:r w:rsidRPr="00673813">
        <w:rPr>
          <w:rFonts w:cstheme="minorHAnsi"/>
        </w:rPr>
        <w:t xml:space="preserve"> </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irector (ED) board members – the Chief Executive Officer, the Chief Financial Officer,</w:t>
      </w:r>
      <w:r w:rsidR="004D0F30">
        <w:rPr>
          <w:rFonts w:cstheme="minorHAnsi"/>
        </w:rPr>
        <w:t xml:space="preserve"> and the </w:t>
      </w:r>
      <w:r w:rsidRPr="00673813">
        <w:rPr>
          <w:rFonts w:cstheme="minorHAnsi"/>
        </w:rPr>
        <w:t>Chief Risk Officer</w:t>
      </w:r>
      <w:r w:rsidR="004D0F30">
        <w:rPr>
          <w:rFonts w:cstheme="minorHAnsi"/>
        </w:rPr>
        <w:t xml:space="preserve">.  The </w:t>
      </w:r>
      <w:r w:rsidRPr="007D3FDF">
        <w:rPr>
          <w:rFonts w:cstheme="minorHAnsi"/>
        </w:rPr>
        <w:t>Chief Development Officer</w:t>
      </w:r>
      <w:r w:rsidR="00264A8C">
        <w:rPr>
          <w:rFonts w:cstheme="minorHAnsi"/>
        </w:rPr>
        <w:t xml:space="preserve"> retired on 31 January 2023</w:t>
      </w:r>
      <w:r w:rsidR="004D0F30">
        <w:rPr>
          <w:rFonts w:cstheme="minorHAnsi"/>
        </w:rPr>
        <w:t xml:space="preserve"> and his position has not been replaced on the </w:t>
      </w:r>
      <w:r w:rsidR="000A7B95">
        <w:rPr>
          <w:rFonts w:cstheme="minorHAnsi"/>
        </w:rPr>
        <w:t>Board.</w:t>
      </w:r>
      <w:r w:rsidRPr="007D3FDF">
        <w:rPr>
          <w:rFonts w:cstheme="minorHAnsi"/>
        </w:rPr>
        <w:t xml:space="preserve"> </w:t>
      </w:r>
    </w:p>
    <w:p w14:paraId="0FBEADC4" w14:textId="77777777" w:rsidR="00343D38" w:rsidRPr="00673813" w:rsidRDefault="00343D38" w:rsidP="00F06BF5">
      <w:pPr>
        <w:spacing w:after="120" w:line="276" w:lineRule="auto"/>
        <w:jc w:val="both"/>
        <w:rPr>
          <w:rFonts w:cstheme="minorHAnsi"/>
        </w:rPr>
      </w:pPr>
      <w:r w:rsidRPr="007D3FDF">
        <w:rPr>
          <w:rFonts w:cstheme="minorHAnsi"/>
        </w:rPr>
        <w:t>The Board has its own terms of reference and has specific committees appointed by it for the</w:t>
      </w:r>
      <w:r w:rsidRPr="00673813">
        <w:rPr>
          <w:rFonts w:cstheme="minorHAnsi"/>
        </w:rPr>
        <w:t xml:space="preserve"> purposes of Nominations &amp; Governance, Audit, Risk &amp; Compliance, Performance &amp; Remuneration, and Executive Management.  Each committee has its own terms of reference.</w:t>
      </w:r>
    </w:p>
    <w:p w14:paraId="211CF8A5" w14:textId="430ABF6A" w:rsidR="00343D38" w:rsidRDefault="00343D38" w:rsidP="00F06BF5">
      <w:pPr>
        <w:spacing w:after="120" w:line="276" w:lineRule="auto"/>
        <w:jc w:val="both"/>
        <w:rPr>
          <w:rFonts w:cstheme="minorHAnsi"/>
        </w:rPr>
      </w:pPr>
      <w:r w:rsidRPr="00673813">
        <w:rPr>
          <w:rFonts w:cstheme="minorHAnsi"/>
        </w:rPr>
        <w:t xml:space="preserve">To ensure independence, and reduce the potential for conflict of interest, the sub-committees (excluding the Executive Committee) are each comprised entirely of </w:t>
      </w:r>
      <w:r w:rsidR="00E11738">
        <w:rPr>
          <w:rFonts w:cstheme="minorHAnsi"/>
        </w:rPr>
        <w:t>N</w:t>
      </w:r>
      <w:r w:rsidRPr="00673813">
        <w:rPr>
          <w:rFonts w:cstheme="minorHAnsi"/>
        </w:rPr>
        <w:t>on-</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irectors (NEDs), although individual EDs and others attend either as a matter of course or when requested to provide advice and guidance.  A NED chairs each of the Board Committees except the Executive Committee which is chaired by the CEO.</w:t>
      </w:r>
    </w:p>
    <w:p w14:paraId="3199361C" w14:textId="0C21056D" w:rsidR="00E32B44" w:rsidRPr="00673813" w:rsidRDefault="009420FA" w:rsidP="00F06BF5">
      <w:pPr>
        <w:spacing w:after="120" w:line="276" w:lineRule="auto"/>
        <w:jc w:val="both"/>
        <w:rPr>
          <w:rFonts w:cstheme="minorHAnsi"/>
        </w:rPr>
      </w:pPr>
      <w:r>
        <w:rPr>
          <w:rFonts w:cstheme="minorHAnsi"/>
        </w:rPr>
        <w:t xml:space="preserve">CCB welcomed </w:t>
      </w:r>
      <w:r w:rsidR="00E32B44" w:rsidRPr="0092701C">
        <w:rPr>
          <w:rFonts w:cstheme="minorHAnsi"/>
        </w:rPr>
        <w:t xml:space="preserve">Michele Ibbs </w:t>
      </w:r>
      <w:r>
        <w:rPr>
          <w:rFonts w:cstheme="minorHAnsi"/>
        </w:rPr>
        <w:t>to the</w:t>
      </w:r>
      <w:r w:rsidR="00E32B44" w:rsidRPr="0092701C">
        <w:rPr>
          <w:rFonts w:cstheme="minorHAnsi"/>
        </w:rPr>
        <w:t xml:space="preserve"> board as a </w:t>
      </w:r>
      <w:r w:rsidR="00E11738">
        <w:rPr>
          <w:rFonts w:cstheme="minorHAnsi"/>
        </w:rPr>
        <w:t>N</w:t>
      </w:r>
      <w:r w:rsidR="00E32B44" w:rsidRPr="0092701C">
        <w:rPr>
          <w:rFonts w:cstheme="minorHAnsi"/>
        </w:rPr>
        <w:t>on–</w:t>
      </w:r>
      <w:r w:rsidR="00E11738">
        <w:rPr>
          <w:rFonts w:cstheme="minorHAnsi"/>
        </w:rPr>
        <w:t>E</w:t>
      </w:r>
      <w:r w:rsidR="00E32B44" w:rsidRPr="0092701C">
        <w:rPr>
          <w:rFonts w:cstheme="minorHAnsi"/>
        </w:rPr>
        <w:t xml:space="preserve">xecutive </w:t>
      </w:r>
      <w:r w:rsidR="00E11738">
        <w:rPr>
          <w:rFonts w:cstheme="minorHAnsi"/>
        </w:rPr>
        <w:t>D</w:t>
      </w:r>
      <w:r w:rsidR="00E32B44" w:rsidRPr="0092701C">
        <w:rPr>
          <w:rFonts w:cstheme="minorHAnsi"/>
        </w:rPr>
        <w:t>irector and shareholder representative for the Cambridgeshire Local Government Pension Scheme</w:t>
      </w:r>
      <w:r w:rsidR="00E32B44">
        <w:rPr>
          <w:rFonts w:cstheme="minorHAnsi"/>
        </w:rPr>
        <w:t xml:space="preserve"> and </w:t>
      </w:r>
      <w:r w:rsidR="00E32B44" w:rsidRPr="0092701C">
        <w:rPr>
          <w:rFonts w:cstheme="minorHAnsi"/>
        </w:rPr>
        <w:t xml:space="preserve">Elizabeth Lockwood joined us as a </w:t>
      </w:r>
      <w:r w:rsidR="00E11738">
        <w:rPr>
          <w:rFonts w:cstheme="minorHAnsi"/>
        </w:rPr>
        <w:t>N</w:t>
      </w:r>
      <w:r w:rsidR="00E32B44" w:rsidRPr="0092701C">
        <w:rPr>
          <w:rFonts w:cstheme="minorHAnsi"/>
        </w:rPr>
        <w:t>on–</w:t>
      </w:r>
      <w:r w:rsidR="00E11738">
        <w:rPr>
          <w:rFonts w:cstheme="minorHAnsi"/>
        </w:rPr>
        <w:t>E</w:t>
      </w:r>
      <w:r w:rsidR="00E32B44" w:rsidRPr="0092701C">
        <w:rPr>
          <w:rFonts w:cstheme="minorHAnsi"/>
        </w:rPr>
        <w:t xml:space="preserve">xecutive </w:t>
      </w:r>
      <w:r w:rsidR="00E11738">
        <w:rPr>
          <w:rFonts w:cstheme="minorHAnsi"/>
        </w:rPr>
        <w:t>D</w:t>
      </w:r>
      <w:r w:rsidR="00E32B44" w:rsidRPr="0092701C">
        <w:rPr>
          <w:rFonts w:cstheme="minorHAnsi"/>
        </w:rPr>
        <w:t xml:space="preserve">irector and Chair of our Risk </w:t>
      </w:r>
      <w:r w:rsidR="00E32B44">
        <w:rPr>
          <w:rFonts w:cstheme="minorHAnsi"/>
        </w:rPr>
        <w:t xml:space="preserve">&amp; Compliance </w:t>
      </w:r>
      <w:r w:rsidR="00E32B44" w:rsidRPr="0092701C">
        <w:rPr>
          <w:rFonts w:cstheme="minorHAnsi"/>
        </w:rPr>
        <w:t>Committee.</w:t>
      </w:r>
      <w:r w:rsidR="00E32B44">
        <w:rPr>
          <w:rFonts w:cstheme="minorHAnsi"/>
        </w:rPr>
        <w:t xml:space="preserve"> </w:t>
      </w:r>
      <w:r w:rsidR="00E32B44" w:rsidRPr="0092701C">
        <w:rPr>
          <w:rFonts w:cstheme="minorHAnsi"/>
        </w:rPr>
        <w:t>We said farewell to Christiane Wuillamie</w:t>
      </w:r>
      <w:r w:rsidR="00E32B44">
        <w:rPr>
          <w:rFonts w:cstheme="minorHAnsi"/>
        </w:rPr>
        <w:t xml:space="preserve"> and </w:t>
      </w:r>
      <w:r w:rsidR="00E32B44" w:rsidRPr="0092701C">
        <w:rPr>
          <w:rFonts w:cstheme="minorHAnsi"/>
        </w:rPr>
        <w:t>Nick Treble</w:t>
      </w:r>
      <w:r w:rsidR="00E32B44">
        <w:rPr>
          <w:rFonts w:cstheme="minorHAnsi"/>
        </w:rPr>
        <w:t>, who previously held these respective positions.</w:t>
      </w:r>
    </w:p>
    <w:p w14:paraId="79B82DDF" w14:textId="64513FE0" w:rsidR="00F05720" w:rsidRPr="00FC7F19" w:rsidRDefault="00F05720" w:rsidP="00F06BF5">
      <w:pPr>
        <w:spacing w:line="276" w:lineRule="auto"/>
        <w:jc w:val="both"/>
      </w:pPr>
      <w:r w:rsidRPr="00FC7F19">
        <w:t>Following the retir</w:t>
      </w:r>
      <w:r>
        <w:t>ement</w:t>
      </w:r>
      <w:r w:rsidRPr="00FC7F19">
        <w:t xml:space="preserve"> of Simon Lindley, Chief Development Officer, and Sara Thorpe, Chief People Officer earlier in the year, we were delighted to welcome Sarah Barker, Chief Commercial Officer, and Lynsey Harrell, Chief People Officer</w:t>
      </w:r>
      <w:r>
        <w:t>,</w:t>
      </w:r>
      <w:r w:rsidRPr="00FC7F19">
        <w:t xml:space="preserve"> who joined the Bank’s Executive team mid-2023.  Sarah will focus on sustainably growing Cambridge &amp; Counties Bank’s real estate finance, asset finance, deposit, and marketing businesses to deliver enhanced dedicated solutions to our customer base.  Lynsey brings deep experience in HR business partnering and project management, leading strategic people plans and transformational projects. </w:t>
      </w:r>
    </w:p>
    <w:p w14:paraId="098964E0" w14:textId="77777777" w:rsidR="0007568B" w:rsidRDefault="0007568B" w:rsidP="00F06BF5">
      <w:pPr>
        <w:spacing w:line="276" w:lineRule="auto"/>
        <w:jc w:val="both"/>
      </w:pPr>
    </w:p>
    <w:p w14:paraId="29C4CABC" w14:textId="101AC34F" w:rsidR="00F05720" w:rsidRPr="00FC7F19" w:rsidRDefault="00F05720" w:rsidP="00F06BF5">
      <w:pPr>
        <w:spacing w:line="276" w:lineRule="auto"/>
        <w:jc w:val="both"/>
      </w:pPr>
      <w:r w:rsidRPr="00FC7F19">
        <w:t xml:space="preserve">We are delighted with the skill set and competencies that Sarah and Lynsey bring; complementing the </w:t>
      </w:r>
      <w:r>
        <w:t>E</w:t>
      </w:r>
      <w:r w:rsidRPr="00FC7F19">
        <w:t xml:space="preserve">xecutive with the expertise to help the Bank deliver on its strategic ambitions and </w:t>
      </w:r>
      <w:r w:rsidR="00264A8C">
        <w:t xml:space="preserve">achieving </w:t>
      </w:r>
      <w:r w:rsidRPr="00FC7F19">
        <w:t>4</w:t>
      </w:r>
      <w:r w:rsidR="00264A8C">
        <w:t>0</w:t>
      </w:r>
      <w:r w:rsidRPr="00FC7F19">
        <w:t xml:space="preserve">% female representation at </w:t>
      </w:r>
      <w:r w:rsidR="00264A8C">
        <w:t>senior management and 44% at Executive Committee levels.</w:t>
      </w:r>
    </w:p>
    <w:p w14:paraId="283614D2" w14:textId="77777777" w:rsidR="00F05720" w:rsidRDefault="00F05720" w:rsidP="00F06BF5">
      <w:pPr>
        <w:spacing w:after="120" w:line="276" w:lineRule="auto"/>
        <w:jc w:val="both"/>
        <w:rPr>
          <w:rFonts w:cstheme="minorHAnsi"/>
        </w:rPr>
      </w:pPr>
    </w:p>
    <w:p w14:paraId="6C354A92" w14:textId="2EEE020A" w:rsidR="00E32B44" w:rsidRPr="0092701C" w:rsidRDefault="00E32B44" w:rsidP="00F06BF5">
      <w:pPr>
        <w:spacing w:line="276" w:lineRule="auto"/>
        <w:jc w:val="both"/>
        <w:rPr>
          <w:rFonts w:cstheme="minorHAnsi"/>
        </w:rPr>
      </w:pPr>
      <w:r w:rsidRPr="0092701C">
        <w:rPr>
          <w:rFonts w:cstheme="minorHAnsi"/>
        </w:rPr>
        <w:t xml:space="preserve">With Elizabeth and Michele joining us, together with several appointments to the senior executive team, we have </w:t>
      </w:r>
      <w:r w:rsidR="004D0F30">
        <w:rPr>
          <w:rFonts w:cstheme="minorHAnsi"/>
        </w:rPr>
        <w:t xml:space="preserve">a </w:t>
      </w:r>
      <w:r w:rsidRPr="0092701C">
        <w:rPr>
          <w:rFonts w:cstheme="minorHAnsi"/>
        </w:rPr>
        <w:t xml:space="preserve">complete refresh of the </w:t>
      </w:r>
      <w:r w:rsidR="00BC35E4">
        <w:rPr>
          <w:rFonts w:cstheme="minorHAnsi"/>
        </w:rPr>
        <w:t>B</w:t>
      </w:r>
      <w:r w:rsidRPr="0092701C">
        <w:rPr>
          <w:rFonts w:cstheme="minorHAnsi"/>
        </w:rPr>
        <w:t xml:space="preserve">oard and the senior team, positioning the </w:t>
      </w:r>
      <w:r>
        <w:rPr>
          <w:rFonts w:cstheme="minorHAnsi"/>
        </w:rPr>
        <w:t>B</w:t>
      </w:r>
      <w:r w:rsidRPr="0092701C">
        <w:rPr>
          <w:rFonts w:cstheme="minorHAnsi"/>
        </w:rPr>
        <w:t>ank well for the next stage of its development.</w:t>
      </w:r>
    </w:p>
    <w:p w14:paraId="7C53E427" w14:textId="77777777" w:rsidR="00E32B44" w:rsidRDefault="00E32B44" w:rsidP="00343D38">
      <w:pPr>
        <w:spacing w:after="120"/>
        <w:jc w:val="both"/>
        <w:rPr>
          <w:rFonts w:cstheme="minorHAnsi"/>
        </w:rPr>
      </w:pPr>
    </w:p>
    <w:p w14:paraId="3F272404" w14:textId="77777777" w:rsidR="005220F2" w:rsidRDefault="005220F2" w:rsidP="0006275C">
      <w:pPr>
        <w:jc w:val="both"/>
        <w:rPr>
          <w:rFonts w:cstheme="minorHAnsi"/>
        </w:rPr>
        <w:sectPr w:rsidR="005220F2" w:rsidSect="005220F2">
          <w:headerReference w:type="default" r:id="rId16"/>
          <w:pgSz w:w="11906" w:h="16838"/>
          <w:pgMar w:top="1440" w:right="1440" w:bottom="1134" w:left="1440" w:header="708" w:footer="195" w:gutter="0"/>
          <w:cols w:space="708"/>
          <w:docGrid w:linePitch="360"/>
        </w:sectPr>
      </w:pPr>
    </w:p>
    <w:p w14:paraId="05F36BF7" w14:textId="77777777" w:rsidR="00392E58" w:rsidRDefault="002D3FFE" w:rsidP="00392E58">
      <w:pPr>
        <w:rPr>
          <w:rFonts w:eastAsia="Times New Roman"/>
          <w:lang w:eastAsia="en-US"/>
        </w:rPr>
      </w:pPr>
      <w:r w:rsidRPr="00FA2D4F">
        <w:rPr>
          <w:rFonts w:eastAsia="Times New Roman"/>
          <w:lang w:eastAsia="en-US"/>
        </w:rPr>
        <w:lastRenderedPageBreak/>
        <w:t>The</w:t>
      </w:r>
      <w:r w:rsidR="00392E58">
        <w:rPr>
          <w:rFonts w:eastAsia="Times New Roman"/>
          <w:lang w:eastAsia="en-US"/>
        </w:rPr>
        <w:t xml:space="preserve"> </w:t>
      </w:r>
      <w:r w:rsidRPr="00FA2D4F">
        <w:rPr>
          <w:rFonts w:eastAsia="Times New Roman"/>
          <w:lang w:eastAsia="en-US"/>
        </w:rPr>
        <w:t>diagram below sets out the Bank’s Committee structure:</w:t>
      </w:r>
    </w:p>
    <w:p w14:paraId="11DFBE49" w14:textId="77777777" w:rsidR="00392E58" w:rsidRDefault="00392E58" w:rsidP="00392E58">
      <w:pPr>
        <w:rPr>
          <w:rFonts w:eastAsia="Times New Roman"/>
          <w:lang w:eastAsia="en-US"/>
        </w:rPr>
      </w:pPr>
    </w:p>
    <w:p w14:paraId="7112749B" w14:textId="77777777" w:rsidR="00392E58" w:rsidRDefault="00392E58" w:rsidP="00392E58">
      <w:pPr>
        <w:rPr>
          <w:rFonts w:eastAsia="Times New Roman"/>
          <w:lang w:eastAsia="en-US"/>
        </w:rPr>
      </w:pPr>
    </w:p>
    <w:p w14:paraId="110E52B1" w14:textId="1FB88C84" w:rsidR="00392E58" w:rsidRDefault="00B62FEB" w:rsidP="00392E58">
      <w:pPr>
        <w:rPr>
          <w:rFonts w:eastAsia="Times New Roman"/>
          <w:lang w:eastAsia="en-US"/>
        </w:rPr>
        <w:sectPr w:rsidR="00392E58" w:rsidSect="00392E58">
          <w:pgSz w:w="16838" w:h="11906" w:orient="landscape"/>
          <w:pgMar w:top="1440" w:right="1440" w:bottom="1440" w:left="1134" w:header="709" w:footer="193" w:gutter="0"/>
          <w:cols w:space="708"/>
          <w:docGrid w:linePitch="360"/>
        </w:sectPr>
      </w:pPr>
      <w:r w:rsidRPr="00FA2D4F">
        <w:rPr>
          <w:rFonts w:eastAsia="Times New Roman"/>
          <w:noProof/>
          <w:lang w:eastAsia="en-US"/>
        </w:rPr>
        <w:drawing>
          <wp:inline distT="0" distB="0" distL="0" distR="0" wp14:anchorId="76CB7D10" wp14:editId="7C511B4C">
            <wp:extent cx="8772525" cy="5215411"/>
            <wp:effectExtent l="0" t="0" r="0" b="4445"/>
            <wp:docPr id="1606416931" name="Picture 9"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16931" name="Picture 9" descr="A diagram of a company structure&#10;&#10;Description automatically generated"/>
                    <pic:cNvPicPr/>
                  </pic:nvPicPr>
                  <pic:blipFill rotWithShape="1">
                    <a:blip r:embed="rId17">
                      <a:extLst>
                        <a:ext uri="{28A0092B-C50C-407E-A947-70E740481C1C}">
                          <a14:useLocalDpi xmlns:a14="http://schemas.microsoft.com/office/drawing/2010/main" val="0"/>
                        </a:ext>
                      </a:extLst>
                    </a:blip>
                    <a:srcRect t="6047" b="1145"/>
                    <a:stretch/>
                  </pic:blipFill>
                  <pic:spPr bwMode="auto">
                    <a:xfrm>
                      <a:off x="0" y="0"/>
                      <a:ext cx="8873237" cy="5275286"/>
                    </a:xfrm>
                    <a:prstGeom prst="rect">
                      <a:avLst/>
                    </a:prstGeom>
                    <a:ln>
                      <a:noFill/>
                    </a:ln>
                    <a:extLst>
                      <a:ext uri="{53640926-AAD7-44D8-BBD7-CCE9431645EC}">
                        <a14:shadowObscured xmlns:a14="http://schemas.microsoft.com/office/drawing/2010/main"/>
                      </a:ext>
                    </a:extLst>
                  </pic:spPr>
                </pic:pic>
              </a:graphicData>
            </a:graphic>
          </wp:inline>
        </w:drawing>
      </w:r>
    </w:p>
    <w:p w14:paraId="3E1057CA" w14:textId="61A6E163" w:rsidR="00B62FEB" w:rsidRPr="00FA2D4F" w:rsidRDefault="00B62FEB" w:rsidP="00B62FEB">
      <w:pPr>
        <w:jc w:val="both"/>
        <w:rPr>
          <w:rFonts w:eastAsia="Times New Roman"/>
          <w:lang w:eastAsia="en-US"/>
        </w:rPr>
      </w:pPr>
    </w:p>
    <w:p w14:paraId="2C20F0D1" w14:textId="6D870832" w:rsidR="002D3FFE" w:rsidRDefault="002D3FFE" w:rsidP="00F06BF5">
      <w:pPr>
        <w:spacing w:after="160" w:line="276" w:lineRule="auto"/>
        <w:rPr>
          <w:rFonts w:eastAsia="Times New Roman"/>
          <w:lang w:eastAsia="en-US"/>
        </w:rPr>
      </w:pPr>
      <w:bookmarkStart w:id="31" w:name="_Hlk3898096"/>
      <w:r w:rsidRPr="004D65FE">
        <w:rPr>
          <w:rFonts w:eastAsia="Times New Roman"/>
          <w:lang w:eastAsia="en-US"/>
        </w:rPr>
        <w:t xml:space="preserve">Information about the Bank’s recruitment approach, including diversity, can also be found on the Bank’s website </w:t>
      </w:r>
      <w:r>
        <w:rPr>
          <w:rFonts w:eastAsia="Times New Roman"/>
          <w:lang w:eastAsia="en-US"/>
        </w:rPr>
        <w:t>(</w:t>
      </w:r>
      <w:hyperlink r:id="rId18" w:history="1">
        <w:r w:rsidRPr="00222442">
          <w:rPr>
            <w:rStyle w:val="Hyperlink"/>
            <w:rFonts w:eastAsia="Times New Roman"/>
            <w:lang w:eastAsia="en-US"/>
          </w:rPr>
          <w:t>https://ccbank.co.uk/about-us/careers/</w:t>
        </w:r>
      </w:hyperlink>
      <w:r w:rsidRPr="004D65FE">
        <w:rPr>
          <w:rFonts w:eastAsia="Times New Roman"/>
          <w:lang w:eastAsia="en-US"/>
        </w:rPr>
        <w:t>).</w:t>
      </w:r>
    </w:p>
    <w:bookmarkEnd w:id="31"/>
    <w:p w14:paraId="06C34930" w14:textId="77777777" w:rsidR="002D3FFE" w:rsidRPr="00836448" w:rsidRDefault="002D3FFE" w:rsidP="00F06BF5">
      <w:pPr>
        <w:spacing w:line="276" w:lineRule="auto"/>
        <w:jc w:val="both"/>
      </w:pPr>
    </w:p>
    <w:p w14:paraId="0CDB5FF4" w14:textId="77777777" w:rsidR="002D3FFE" w:rsidRPr="00836448" w:rsidRDefault="002D3FFE" w:rsidP="00F06BF5">
      <w:pPr>
        <w:spacing w:line="276" w:lineRule="auto"/>
        <w:jc w:val="both"/>
      </w:pPr>
      <w:r w:rsidRPr="00836448">
        <w:t xml:space="preserve">Risk management is governed within the corporate governance structure, with ultimate ownership at Board level via the Risk &amp; Compliance Committee.  In addition, the Board Audit Committee facilitates third line review of all aspects of risk management and the Nominations &amp; Governance and Performance &amp; Remuneration Committees have a role in the management of conduct risk, including risk culture.  </w:t>
      </w:r>
    </w:p>
    <w:p w14:paraId="56FCB8E1" w14:textId="77777777" w:rsidR="002D3FFE" w:rsidRPr="00836448" w:rsidRDefault="002D3FFE" w:rsidP="00F06BF5">
      <w:pPr>
        <w:spacing w:line="276" w:lineRule="auto"/>
        <w:jc w:val="both"/>
      </w:pPr>
    </w:p>
    <w:p w14:paraId="384D7425" w14:textId="231F4619" w:rsidR="002D3FFE" w:rsidRPr="00293680" w:rsidRDefault="008C18A8" w:rsidP="00F06BF5">
      <w:pPr>
        <w:spacing w:line="276" w:lineRule="auto"/>
        <w:jc w:val="both"/>
        <w:rPr>
          <w:rFonts w:eastAsia="Times New Roman"/>
          <w:lang w:eastAsia="en-US"/>
        </w:rPr>
      </w:pPr>
      <w:bookmarkStart w:id="32" w:name="_Hlk97537956"/>
      <w:r>
        <w:t>The</w:t>
      </w:r>
      <w:r w:rsidR="00DF1844">
        <w:t xml:space="preserve"> t</w:t>
      </w:r>
      <w:r>
        <w:t xml:space="preserve">able </w:t>
      </w:r>
      <w:r w:rsidR="00DF1844">
        <w:t xml:space="preserve">below sets out the Committee’s </w:t>
      </w:r>
      <w:r w:rsidR="002D3FFE" w:rsidRPr="00836448">
        <w:rPr>
          <w:rFonts w:eastAsia="Times New Roman"/>
          <w:lang w:eastAsia="en-US"/>
        </w:rPr>
        <w:t>purpose and key responsibilities (as delegated by the Board)</w:t>
      </w:r>
      <w:r w:rsidR="002D3FFE" w:rsidRPr="00293680">
        <w:rPr>
          <w:rFonts w:eastAsia="Times New Roman"/>
          <w:lang w:eastAsia="en-US"/>
        </w:rPr>
        <w:t xml:space="preserve"> and Chairs. The Bank reviews the committee structure on an ongoing basis to ensure that it remains fit for purpose and maximises the effective decision-making ability of the Board.</w:t>
      </w:r>
      <w:r w:rsidR="002D3FFE">
        <w:rPr>
          <w:rFonts w:eastAsia="Times New Roman"/>
          <w:lang w:eastAsia="en-US"/>
        </w:rPr>
        <w:t xml:space="preserve"> </w:t>
      </w:r>
    </w:p>
    <w:p w14:paraId="0E6D7235" w14:textId="77777777" w:rsidR="002D3FFE" w:rsidRPr="00160E19" w:rsidRDefault="002D3FFE" w:rsidP="0006275C">
      <w:pPr>
        <w:spacing w:line="276" w:lineRule="auto"/>
        <w:jc w:val="both"/>
        <w:rPr>
          <w:rFonts w:ascii="Museo Sans 100" w:hAnsi="Museo Sans 100"/>
        </w:rPr>
      </w:pPr>
    </w:p>
    <w:tbl>
      <w:tblPr>
        <w:tblW w:w="5343" w:type="pct"/>
        <w:tblLayout w:type="fixed"/>
        <w:tblCellMar>
          <w:left w:w="57" w:type="dxa"/>
          <w:right w:w="57" w:type="dxa"/>
        </w:tblCellMar>
        <w:tblLook w:val="04A0" w:firstRow="1" w:lastRow="0" w:firstColumn="1" w:lastColumn="0" w:noHBand="0" w:noVBand="1"/>
      </w:tblPr>
      <w:tblGrid>
        <w:gridCol w:w="1413"/>
        <w:gridCol w:w="1277"/>
        <w:gridCol w:w="6944"/>
      </w:tblGrid>
      <w:tr w:rsidR="002D3FFE" w:rsidRPr="00E41AE6" w14:paraId="0D7A3CD5" w14:textId="77777777" w:rsidTr="00163460">
        <w:trPr>
          <w:trHeight w:val="300"/>
          <w:tblHeader/>
        </w:trPr>
        <w:tc>
          <w:tcPr>
            <w:tcW w:w="733" w:type="pct"/>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17C308AA" w14:textId="77777777" w:rsidR="002D3FFE" w:rsidRPr="00074855" w:rsidRDefault="002D3FFE" w:rsidP="0006275C">
            <w:pPr>
              <w:spacing w:line="276" w:lineRule="auto"/>
              <w:jc w:val="both"/>
              <w:rPr>
                <w:b/>
              </w:rPr>
            </w:pPr>
            <w:r w:rsidRPr="007F6ABA">
              <w:rPr>
                <w:rFonts w:ascii="Museo Sans 100" w:eastAsia="Times New Roman" w:hAnsi="Museo Sans 100" w:cs="Calibri"/>
                <w:b/>
                <w:bCs/>
                <w:color w:val="FFFFFF"/>
                <w:sz w:val="16"/>
                <w:szCs w:val="16"/>
              </w:rPr>
              <w:t>Committee</w:t>
            </w:r>
          </w:p>
        </w:tc>
        <w:tc>
          <w:tcPr>
            <w:tcW w:w="663" w:type="pct"/>
            <w:tcBorders>
              <w:top w:val="single" w:sz="4" w:space="0" w:color="auto"/>
              <w:left w:val="nil"/>
              <w:bottom w:val="single" w:sz="4" w:space="0" w:color="auto"/>
              <w:right w:val="single" w:sz="4" w:space="0" w:color="auto"/>
            </w:tcBorders>
            <w:shd w:val="clear" w:color="auto" w:fill="5B9BD5"/>
          </w:tcPr>
          <w:p w14:paraId="30301815" w14:textId="77777777" w:rsidR="002D3FFE" w:rsidRDefault="002D3FFE" w:rsidP="0006275C">
            <w:pPr>
              <w:spacing w:line="276" w:lineRule="auto"/>
              <w:jc w:val="both"/>
              <w:rPr>
                <w:rFonts w:ascii="Museo Sans 100" w:eastAsia="Times New Roman" w:hAnsi="Museo Sans 100" w:cs="Calibri"/>
                <w:b/>
                <w:bCs/>
                <w:color w:val="FFFFFF"/>
                <w:sz w:val="16"/>
                <w:szCs w:val="16"/>
              </w:rPr>
            </w:pPr>
            <w:r>
              <w:rPr>
                <w:rFonts w:ascii="Museo Sans 100" w:eastAsia="Times New Roman" w:hAnsi="Museo Sans 100" w:cs="Calibri"/>
                <w:b/>
                <w:bCs/>
                <w:color w:val="FFFFFF"/>
                <w:sz w:val="16"/>
                <w:szCs w:val="16"/>
              </w:rPr>
              <w:t>Chair</w:t>
            </w:r>
          </w:p>
        </w:tc>
        <w:tc>
          <w:tcPr>
            <w:tcW w:w="3604" w:type="pct"/>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4018AB8E" w14:textId="77777777" w:rsidR="002D3FFE" w:rsidRPr="00074855" w:rsidRDefault="002D3FFE" w:rsidP="0006275C">
            <w:pPr>
              <w:spacing w:line="276" w:lineRule="auto"/>
              <w:jc w:val="both"/>
              <w:rPr>
                <w:rFonts w:ascii="Museo Sans 100" w:eastAsia="Times New Roman" w:hAnsi="Museo Sans 100" w:cs="Calibri"/>
                <w:b/>
                <w:bCs/>
                <w:color w:val="FFFFFF"/>
                <w:sz w:val="16"/>
                <w:szCs w:val="16"/>
              </w:rPr>
            </w:pPr>
            <w:r>
              <w:rPr>
                <w:rFonts w:ascii="Museo Sans 100" w:eastAsia="Times New Roman" w:hAnsi="Museo Sans 100" w:cs="Calibri"/>
                <w:b/>
                <w:bCs/>
                <w:color w:val="FFFFFF"/>
                <w:sz w:val="16"/>
                <w:szCs w:val="16"/>
              </w:rPr>
              <w:t>Purpose / Responsibilities relating to Risk Management</w:t>
            </w:r>
          </w:p>
        </w:tc>
      </w:tr>
      <w:tr w:rsidR="002D3FFE" w:rsidRPr="00E41AE6" w14:paraId="4768AD0A" w14:textId="77777777" w:rsidTr="00163460">
        <w:trPr>
          <w:trHeight w:val="1101"/>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257C6D7B" w14:textId="77777777" w:rsidR="002D3FFE" w:rsidRPr="005A4E5C" w:rsidRDefault="002D3FFE" w:rsidP="00867D5F">
            <w:pPr>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Board </w:t>
            </w:r>
          </w:p>
        </w:tc>
        <w:tc>
          <w:tcPr>
            <w:tcW w:w="663" w:type="pct"/>
            <w:tcBorders>
              <w:top w:val="single" w:sz="4" w:space="0" w:color="auto"/>
              <w:left w:val="nil"/>
              <w:bottom w:val="single" w:sz="4" w:space="0" w:color="auto"/>
              <w:right w:val="single" w:sz="4" w:space="0" w:color="auto"/>
            </w:tcBorders>
          </w:tcPr>
          <w:p w14:paraId="3180C0B5" w14:textId="56D76F4A" w:rsidR="002D3FFE" w:rsidRPr="005A4E5C" w:rsidRDefault="007B05C2" w:rsidP="00867D5F">
            <w:pPr>
              <w:rPr>
                <w:rFonts w:ascii="Museo Sans 100" w:eastAsia="Times New Roman" w:hAnsi="Museo Sans 100" w:cs="Calibri"/>
                <w:sz w:val="18"/>
                <w:szCs w:val="18"/>
              </w:rPr>
            </w:pPr>
            <w:r>
              <w:rPr>
                <w:rFonts w:ascii="Museo Sans 100" w:eastAsia="Times New Roman" w:hAnsi="Museo Sans 100" w:cs="Calibri"/>
                <w:sz w:val="18"/>
                <w:szCs w:val="18"/>
              </w:rPr>
              <w:t>Patrick Newb</w:t>
            </w:r>
            <w:r w:rsidR="00484A13">
              <w:rPr>
                <w:rFonts w:ascii="Museo Sans 100" w:eastAsia="Times New Roman" w:hAnsi="Museo Sans 100" w:cs="Calibri"/>
                <w:sz w:val="18"/>
                <w:szCs w:val="18"/>
              </w:rPr>
              <w:t>erry</w:t>
            </w:r>
            <w:r w:rsidR="00A1739A">
              <w:rPr>
                <w:rFonts w:ascii="Museo Sans 100" w:eastAsia="Times New Roman" w:hAnsi="Museo Sans 100" w:cs="Calibri"/>
                <w:sz w:val="18"/>
                <w:szCs w:val="18"/>
              </w:rPr>
              <w:t>; Chair</w:t>
            </w:r>
          </w:p>
          <w:p w14:paraId="336D9BFF" w14:textId="77777777" w:rsidR="002D3FFE" w:rsidRPr="005A4E5C" w:rsidRDefault="002D3FFE" w:rsidP="00867D5F">
            <w:pPr>
              <w:rPr>
                <w:rFonts w:ascii="Museo Sans 100" w:eastAsia="Times New Roman" w:hAnsi="Museo Sans 100" w:cs="Calibri"/>
                <w:sz w:val="18"/>
                <w:szCs w:val="18"/>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F0660FA" w14:textId="77777777" w:rsidR="002D3FFE" w:rsidRPr="005A4E5C" w:rsidRDefault="002D3FFE" w:rsidP="0006275C">
            <w:pPr>
              <w:pStyle w:val="ListParagraph"/>
              <w:numPr>
                <w:ilvl w:val="0"/>
                <w:numId w:val="7"/>
              </w:numPr>
              <w:ind w:left="173" w:hanging="142"/>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Ensuring the framework of prudent and effective controls and risk management are maintained;</w:t>
            </w:r>
          </w:p>
          <w:p w14:paraId="02C31A69" w14:textId="77777777" w:rsidR="002D3FFE" w:rsidRPr="005A4E5C" w:rsidRDefault="002D3FFE" w:rsidP="0006275C">
            <w:pPr>
              <w:pStyle w:val="ListParagraph"/>
              <w:numPr>
                <w:ilvl w:val="0"/>
                <w:numId w:val="7"/>
              </w:numPr>
              <w:ind w:left="173" w:hanging="142"/>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Review of the effectiveness of the risk and control processes to support the Bank’s strategy and objectives;</w:t>
            </w:r>
          </w:p>
          <w:p w14:paraId="11D8DB7B" w14:textId="77777777" w:rsidR="002D3FFE" w:rsidRPr="005A4E5C" w:rsidRDefault="002D3FFE" w:rsidP="0006275C">
            <w:pPr>
              <w:pStyle w:val="ListParagraph"/>
              <w:numPr>
                <w:ilvl w:val="0"/>
                <w:numId w:val="7"/>
              </w:numPr>
              <w:ind w:left="173" w:hanging="142"/>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Approval of regulatory documents including the Risk Appetites, ICAAP, ILAAP. </w:t>
            </w:r>
          </w:p>
        </w:tc>
      </w:tr>
      <w:tr w:rsidR="002D3FFE" w:rsidRPr="00E41AE6" w14:paraId="4C7A78E7" w14:textId="77777777" w:rsidTr="00163460">
        <w:trPr>
          <w:trHeight w:val="960"/>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15C341AF" w14:textId="77777777" w:rsidR="002D3FFE" w:rsidRPr="005A4E5C" w:rsidRDefault="002D3FFE" w:rsidP="00867D5F">
            <w:pPr>
              <w:rPr>
                <w:rFonts w:ascii="Museo Sans 100" w:eastAsia="Times New Roman" w:hAnsi="Museo Sans 100" w:cs="Calibri"/>
                <w:sz w:val="18"/>
                <w:szCs w:val="18"/>
              </w:rPr>
            </w:pPr>
            <w:r w:rsidRPr="005A4E5C">
              <w:rPr>
                <w:rFonts w:ascii="Museo Sans 100" w:eastAsia="Times New Roman" w:hAnsi="Museo Sans 100" w:cs="Calibri"/>
                <w:sz w:val="18"/>
                <w:szCs w:val="18"/>
              </w:rPr>
              <w:t>Audit</w:t>
            </w:r>
          </w:p>
        </w:tc>
        <w:tc>
          <w:tcPr>
            <w:tcW w:w="663" w:type="pct"/>
            <w:tcBorders>
              <w:top w:val="single" w:sz="4" w:space="0" w:color="auto"/>
              <w:left w:val="nil"/>
              <w:bottom w:val="single" w:sz="4" w:space="0" w:color="auto"/>
              <w:right w:val="single" w:sz="4" w:space="0" w:color="auto"/>
            </w:tcBorders>
          </w:tcPr>
          <w:p w14:paraId="7EBBA35F" w14:textId="4B8F6944" w:rsidR="002D3FFE" w:rsidRPr="005A4E5C" w:rsidRDefault="00B9355B" w:rsidP="00867D5F">
            <w:pPr>
              <w:rPr>
                <w:rFonts w:ascii="Museo Sans 100" w:eastAsia="Times New Roman" w:hAnsi="Museo Sans 100" w:cs="Calibri"/>
                <w:sz w:val="18"/>
                <w:szCs w:val="18"/>
              </w:rPr>
            </w:pPr>
            <w:r>
              <w:rPr>
                <w:rFonts w:ascii="Museo Sans 100" w:eastAsia="Times New Roman" w:hAnsi="Museo Sans 100" w:cs="Calibri"/>
                <w:sz w:val="18"/>
                <w:szCs w:val="18"/>
              </w:rPr>
              <w:t>Mike Peck</w:t>
            </w:r>
            <w:r w:rsidR="002D3FFE" w:rsidRPr="005A4E5C">
              <w:rPr>
                <w:rFonts w:ascii="Museo Sans 100" w:eastAsia="Times New Roman" w:hAnsi="Museo Sans 100" w:cs="Calibri"/>
                <w:sz w:val="18"/>
                <w:szCs w:val="18"/>
              </w:rPr>
              <w:t>: NED</w:t>
            </w:r>
          </w:p>
          <w:p w14:paraId="7F777AAE" w14:textId="77777777" w:rsidR="002D3FFE" w:rsidRPr="005A4E5C" w:rsidRDefault="002D3FFE" w:rsidP="00867D5F">
            <w:pPr>
              <w:rPr>
                <w:rFonts w:ascii="Museo Sans 100" w:eastAsia="Times New Roman" w:hAnsi="Museo Sans 100" w:cs="Calibri"/>
                <w:sz w:val="18"/>
                <w:szCs w:val="18"/>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25AA5920" w14:textId="54EB44FE" w:rsidR="002D3FFE" w:rsidRPr="005A4E5C" w:rsidRDefault="002D3FFE" w:rsidP="0006275C">
            <w:pPr>
              <w:pStyle w:val="ListParagraph"/>
              <w:numPr>
                <w:ilvl w:val="0"/>
                <w:numId w:val="12"/>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Assisting the Board in carrying out their responsibilities relating to assuring the adequacy and effectiveness of the Bank’s overall financial governance, control framework and processes, including compliance with legal, regulatory, </w:t>
            </w:r>
            <w:r w:rsidR="004D0F30">
              <w:rPr>
                <w:rFonts w:ascii="Museo Sans 100" w:eastAsia="Times New Roman" w:hAnsi="Museo Sans 100" w:cs="Calibri"/>
                <w:sz w:val="18"/>
                <w:szCs w:val="18"/>
              </w:rPr>
              <w:t xml:space="preserve">whistle-blowing, </w:t>
            </w:r>
            <w:r w:rsidRPr="005A4E5C">
              <w:rPr>
                <w:rFonts w:ascii="Museo Sans 100" w:eastAsia="Times New Roman" w:hAnsi="Museo Sans 100" w:cs="Calibri"/>
                <w:sz w:val="18"/>
                <w:szCs w:val="18"/>
              </w:rPr>
              <w:t>and financial reporting requirements;</w:t>
            </w:r>
          </w:p>
          <w:p w14:paraId="1329FA78" w14:textId="77777777" w:rsidR="002D3FFE" w:rsidRPr="005A4E5C" w:rsidRDefault="002D3FFE" w:rsidP="0006275C">
            <w:pPr>
              <w:pStyle w:val="ListParagraph"/>
              <w:numPr>
                <w:ilvl w:val="0"/>
                <w:numId w:val="12"/>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The appointment of internal and external audit and assessment of effectiveness.</w:t>
            </w:r>
          </w:p>
        </w:tc>
      </w:tr>
      <w:tr w:rsidR="002D3FFE" w:rsidRPr="00E41AE6" w14:paraId="5941FAA5" w14:textId="77777777" w:rsidTr="00163460">
        <w:trPr>
          <w:trHeight w:val="416"/>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117D0F50" w14:textId="77777777" w:rsidR="002D3FFE" w:rsidRPr="005A4E5C" w:rsidRDefault="002D3FFE" w:rsidP="00867D5F">
            <w:pPr>
              <w:rPr>
                <w:rFonts w:ascii="Museo Sans 100" w:eastAsia="Times New Roman" w:hAnsi="Museo Sans 100" w:cs="Calibri"/>
                <w:sz w:val="18"/>
                <w:szCs w:val="18"/>
              </w:rPr>
            </w:pPr>
            <w:r w:rsidRPr="005A4E5C">
              <w:rPr>
                <w:rFonts w:ascii="Museo Sans 100" w:eastAsia="Times New Roman" w:hAnsi="Museo Sans 100" w:cs="Calibri"/>
                <w:sz w:val="18"/>
                <w:szCs w:val="18"/>
              </w:rPr>
              <w:t>Risk &amp; Compliance</w:t>
            </w:r>
          </w:p>
        </w:tc>
        <w:tc>
          <w:tcPr>
            <w:tcW w:w="663" w:type="pct"/>
            <w:tcBorders>
              <w:top w:val="single" w:sz="4" w:space="0" w:color="auto"/>
              <w:left w:val="single" w:sz="4" w:space="0" w:color="auto"/>
              <w:bottom w:val="single" w:sz="4" w:space="0" w:color="auto"/>
              <w:right w:val="single" w:sz="4" w:space="0" w:color="auto"/>
            </w:tcBorders>
          </w:tcPr>
          <w:p w14:paraId="05C117EE" w14:textId="699C2C7B" w:rsidR="002D3FFE" w:rsidRPr="005A4E5C" w:rsidRDefault="0007568B" w:rsidP="00867D5F">
            <w:pPr>
              <w:rPr>
                <w:rFonts w:ascii="Museo Sans 100" w:eastAsia="Times New Roman" w:hAnsi="Museo Sans 100" w:cs="Calibri"/>
                <w:sz w:val="18"/>
                <w:szCs w:val="18"/>
              </w:rPr>
            </w:pPr>
            <w:r w:rsidRPr="00FA2D4F">
              <w:rPr>
                <w:rFonts w:ascii="Museo Sans 100" w:eastAsia="Times New Roman" w:hAnsi="Museo Sans 100" w:cs="Calibri"/>
                <w:sz w:val="18"/>
                <w:szCs w:val="18"/>
              </w:rPr>
              <w:t>Elizabeth Lockwood</w:t>
            </w:r>
            <w:r w:rsidR="002D3FFE" w:rsidRPr="005A4E5C">
              <w:rPr>
                <w:rFonts w:ascii="Museo Sans 100" w:eastAsia="Times New Roman" w:hAnsi="Museo Sans 100" w:cs="Calibri"/>
                <w:sz w:val="18"/>
                <w:szCs w:val="18"/>
              </w:rPr>
              <w:t>; NED</w:t>
            </w:r>
          </w:p>
          <w:p w14:paraId="5BBFAAD9" w14:textId="77777777" w:rsidR="002D3FFE" w:rsidRPr="005A4E5C" w:rsidRDefault="002D3FFE" w:rsidP="00867D5F">
            <w:pPr>
              <w:ind w:right="460"/>
              <w:rPr>
                <w:rFonts w:ascii="Museo Sans 100" w:eastAsia="Times New Roman" w:hAnsi="Museo Sans 100" w:cs="Calibri"/>
                <w:sz w:val="18"/>
                <w:szCs w:val="18"/>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30A392C" w14:textId="77777777" w:rsidR="002D3FFE" w:rsidRPr="00024F76" w:rsidRDefault="002D3FFE" w:rsidP="0006275C">
            <w:pPr>
              <w:pStyle w:val="ListParagraph"/>
              <w:numPr>
                <w:ilvl w:val="0"/>
                <w:numId w:val="11"/>
              </w:numPr>
              <w:ind w:left="173" w:right="460"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 xml:space="preserve">Providing oversight and advice to the Board in relation to current and potential future risk exposures of the Bank and future risk strategy, including determination of risk appetite and tolerance;  </w:t>
            </w:r>
          </w:p>
          <w:p w14:paraId="1A402DDF" w14:textId="77777777" w:rsidR="002D3FFE" w:rsidRPr="00024F76" w:rsidRDefault="002D3FFE" w:rsidP="0006275C">
            <w:pPr>
              <w:pStyle w:val="ListParagraph"/>
              <w:numPr>
                <w:ilvl w:val="0"/>
                <w:numId w:val="11"/>
              </w:numPr>
              <w:ind w:left="173" w:right="460"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Compliance with legal and regulatory requirements;</w:t>
            </w:r>
          </w:p>
          <w:p w14:paraId="2B2C722B" w14:textId="77777777" w:rsidR="002D3FFE" w:rsidRPr="00024F76" w:rsidRDefault="002D3FFE" w:rsidP="0006275C">
            <w:pPr>
              <w:pStyle w:val="ListParagraph"/>
              <w:numPr>
                <w:ilvl w:val="0"/>
                <w:numId w:val="11"/>
              </w:numPr>
              <w:ind w:left="173" w:right="460"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 xml:space="preserve">Assisting on such other matters as may be referred to it by the Board; </w:t>
            </w:r>
          </w:p>
          <w:p w14:paraId="6324B143" w14:textId="77777777" w:rsidR="002D3FFE" w:rsidRPr="00024F76" w:rsidRDefault="002D3FFE" w:rsidP="0006275C">
            <w:pPr>
              <w:pStyle w:val="ListParagraph"/>
              <w:numPr>
                <w:ilvl w:val="0"/>
                <w:numId w:val="11"/>
              </w:numPr>
              <w:ind w:left="173" w:right="460"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 xml:space="preserve">Promoting a risk awareness culture within the Bank; </w:t>
            </w:r>
          </w:p>
          <w:p w14:paraId="11B148C9" w14:textId="5F6544FA" w:rsidR="002D3FFE" w:rsidRPr="00024F76" w:rsidRDefault="002D3FFE" w:rsidP="0006275C">
            <w:pPr>
              <w:pStyle w:val="ListParagraph"/>
              <w:numPr>
                <w:ilvl w:val="0"/>
                <w:numId w:val="11"/>
              </w:numPr>
              <w:ind w:left="173" w:right="460"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Providing oversight of the Bank’s risk and compliance functions and to receive and review reports on the Bank’s compliance (including Anti-Money Laundering) with financial services regulations.</w:t>
            </w:r>
          </w:p>
        </w:tc>
      </w:tr>
      <w:tr w:rsidR="002D3FFE" w:rsidRPr="00E41AE6" w14:paraId="4CF02EF5" w14:textId="77777777" w:rsidTr="00163460">
        <w:trPr>
          <w:trHeight w:val="890"/>
        </w:trPr>
        <w:tc>
          <w:tcPr>
            <w:tcW w:w="733" w:type="pct"/>
            <w:tcBorders>
              <w:top w:val="nil"/>
              <w:left w:val="single" w:sz="4" w:space="0" w:color="auto"/>
              <w:bottom w:val="single" w:sz="4" w:space="0" w:color="auto"/>
              <w:right w:val="single" w:sz="4" w:space="0" w:color="auto"/>
            </w:tcBorders>
            <w:shd w:val="clear" w:color="auto" w:fill="auto"/>
            <w:hideMark/>
          </w:tcPr>
          <w:p w14:paraId="53396B8D" w14:textId="77777777" w:rsidR="002D3FFE" w:rsidRPr="005A4E5C" w:rsidRDefault="002D3FFE" w:rsidP="00867D5F">
            <w:pPr>
              <w:rPr>
                <w:rFonts w:ascii="Museo Sans 100" w:eastAsia="Times New Roman" w:hAnsi="Museo Sans 100" w:cs="Calibri"/>
                <w:sz w:val="18"/>
                <w:szCs w:val="18"/>
              </w:rPr>
            </w:pPr>
            <w:r w:rsidRPr="005A4E5C">
              <w:rPr>
                <w:rFonts w:ascii="Museo Sans 100" w:eastAsia="Times New Roman" w:hAnsi="Museo Sans 100" w:cs="Calibri"/>
                <w:sz w:val="18"/>
                <w:szCs w:val="18"/>
              </w:rPr>
              <w:t>Performance &amp; Remuneration</w:t>
            </w:r>
          </w:p>
        </w:tc>
        <w:tc>
          <w:tcPr>
            <w:tcW w:w="663" w:type="pct"/>
            <w:tcBorders>
              <w:top w:val="single" w:sz="4" w:space="0" w:color="auto"/>
              <w:left w:val="nil"/>
              <w:bottom w:val="single" w:sz="4" w:space="0" w:color="auto"/>
              <w:right w:val="single" w:sz="4" w:space="0" w:color="auto"/>
            </w:tcBorders>
          </w:tcPr>
          <w:p w14:paraId="5CDFD15E" w14:textId="731999AD" w:rsidR="002D3FFE" w:rsidRPr="005A4E5C" w:rsidRDefault="00B27F3E" w:rsidP="00867D5F">
            <w:pPr>
              <w:rPr>
                <w:rFonts w:ascii="Museo Sans 100" w:eastAsia="Times New Roman" w:hAnsi="Museo Sans 100" w:cs="Calibri"/>
                <w:sz w:val="18"/>
                <w:szCs w:val="18"/>
              </w:rPr>
            </w:pPr>
            <w:r>
              <w:rPr>
                <w:rFonts w:ascii="Museo Sans 100" w:eastAsia="Times New Roman" w:hAnsi="Museo Sans 100" w:cs="Calibri"/>
                <w:sz w:val="18"/>
                <w:szCs w:val="18"/>
              </w:rPr>
              <w:t>Caroline Fawcett</w:t>
            </w:r>
            <w:r w:rsidR="0089347B">
              <w:rPr>
                <w:rFonts w:ascii="Museo Sans 100" w:eastAsia="Times New Roman" w:hAnsi="Museo Sans 100" w:cs="Calibri"/>
                <w:sz w:val="18"/>
                <w:szCs w:val="18"/>
              </w:rPr>
              <w:t>;</w:t>
            </w:r>
            <w:r w:rsidR="00F07597">
              <w:rPr>
                <w:rFonts w:ascii="Museo Sans 100" w:eastAsia="Times New Roman" w:hAnsi="Museo Sans 100" w:cs="Calibri"/>
                <w:sz w:val="18"/>
                <w:szCs w:val="18"/>
              </w:rPr>
              <w:t xml:space="preserve"> NED</w:t>
            </w:r>
          </w:p>
          <w:p w14:paraId="116FF87D" w14:textId="77777777" w:rsidR="002D3FFE" w:rsidRPr="005A4E5C" w:rsidRDefault="002D3FFE" w:rsidP="00867D5F">
            <w:pPr>
              <w:rPr>
                <w:rFonts w:ascii="Museo Sans 100" w:eastAsia="Times New Roman" w:hAnsi="Museo Sans 100" w:cs="Calibri"/>
                <w:sz w:val="18"/>
                <w:szCs w:val="18"/>
              </w:rPr>
            </w:pPr>
          </w:p>
        </w:tc>
        <w:tc>
          <w:tcPr>
            <w:tcW w:w="3604" w:type="pct"/>
            <w:tcBorders>
              <w:top w:val="nil"/>
              <w:left w:val="single" w:sz="4" w:space="0" w:color="auto"/>
              <w:bottom w:val="single" w:sz="4" w:space="0" w:color="auto"/>
              <w:right w:val="single" w:sz="4" w:space="0" w:color="auto"/>
            </w:tcBorders>
            <w:shd w:val="clear" w:color="auto" w:fill="auto"/>
            <w:hideMark/>
          </w:tcPr>
          <w:p w14:paraId="0F9C981F" w14:textId="5A3F3935" w:rsidR="002D3FFE" w:rsidRPr="00024F76" w:rsidRDefault="002D3FFE" w:rsidP="0006275C">
            <w:pPr>
              <w:pStyle w:val="ListParagraph"/>
              <w:numPr>
                <w:ilvl w:val="0"/>
                <w:numId w:val="10"/>
              </w:numPr>
              <w:ind w:left="173"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 xml:space="preserve">Overseeing the establishment and implementation of a remuneration policy for employees and Directors, which is designed to support long term business strategy and values of the Bank, as well as promoting effective risk management and compliance with applicable legal and regulatory </w:t>
            </w:r>
            <w:r w:rsidR="00C72C26" w:rsidRPr="00024F76">
              <w:rPr>
                <w:rFonts w:ascii="Museo Sans 100" w:eastAsia="Times New Roman" w:hAnsi="Museo Sans 100" w:cs="Calibri"/>
                <w:sz w:val="18"/>
                <w:szCs w:val="18"/>
              </w:rPr>
              <w:t>requirements</w:t>
            </w:r>
            <w:r w:rsidR="00502C98" w:rsidRPr="00024F76">
              <w:rPr>
                <w:rFonts w:ascii="Museo Sans 100" w:eastAsia="Times New Roman" w:hAnsi="Museo Sans 100" w:cs="Calibri"/>
                <w:sz w:val="18"/>
                <w:szCs w:val="18"/>
              </w:rPr>
              <w:t>;</w:t>
            </w:r>
          </w:p>
          <w:p w14:paraId="0584A665" w14:textId="77777777" w:rsidR="002D3FFE" w:rsidRPr="00024F76" w:rsidRDefault="002D3FFE" w:rsidP="0006275C">
            <w:pPr>
              <w:pStyle w:val="ListParagraph"/>
              <w:numPr>
                <w:ilvl w:val="0"/>
                <w:numId w:val="10"/>
              </w:numPr>
              <w:ind w:left="173"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 xml:space="preserve">Reviewing performance and approval of remuneration arrangements as set out within its Terms of Reference. </w:t>
            </w:r>
          </w:p>
        </w:tc>
      </w:tr>
      <w:tr w:rsidR="002D3FFE" w:rsidRPr="00E41AE6" w14:paraId="2BFCA758" w14:textId="77777777" w:rsidTr="00163460">
        <w:trPr>
          <w:trHeight w:val="740"/>
        </w:trPr>
        <w:tc>
          <w:tcPr>
            <w:tcW w:w="733" w:type="pct"/>
            <w:tcBorders>
              <w:top w:val="single" w:sz="4" w:space="0" w:color="auto"/>
              <w:left w:val="single" w:sz="4" w:space="0" w:color="auto"/>
              <w:bottom w:val="single" w:sz="4" w:space="0" w:color="auto"/>
              <w:right w:val="single" w:sz="4" w:space="0" w:color="auto"/>
            </w:tcBorders>
            <w:shd w:val="clear" w:color="auto" w:fill="auto"/>
          </w:tcPr>
          <w:p w14:paraId="354644AC" w14:textId="77777777" w:rsidR="002D3FFE" w:rsidRPr="005A4E5C" w:rsidRDefault="002D3FFE" w:rsidP="00867D5F">
            <w:pPr>
              <w:rPr>
                <w:rFonts w:ascii="Museo Sans 100" w:eastAsia="Times New Roman" w:hAnsi="Museo Sans 100" w:cs="Calibri"/>
                <w:sz w:val="18"/>
                <w:szCs w:val="18"/>
              </w:rPr>
            </w:pPr>
            <w:bookmarkStart w:id="33" w:name="_Hlk3897861"/>
            <w:r w:rsidRPr="005A4E5C">
              <w:rPr>
                <w:rFonts w:ascii="Museo Sans 100" w:eastAsia="Times New Roman" w:hAnsi="Museo Sans 100" w:cs="Calibri"/>
                <w:sz w:val="18"/>
                <w:szCs w:val="18"/>
              </w:rPr>
              <w:t>Nominations &amp; Governance</w:t>
            </w:r>
          </w:p>
        </w:tc>
        <w:tc>
          <w:tcPr>
            <w:tcW w:w="663" w:type="pct"/>
            <w:tcBorders>
              <w:top w:val="single" w:sz="4" w:space="0" w:color="auto"/>
              <w:left w:val="single" w:sz="4" w:space="0" w:color="auto"/>
              <w:bottom w:val="single" w:sz="4" w:space="0" w:color="auto"/>
              <w:right w:val="single" w:sz="4" w:space="0" w:color="auto"/>
            </w:tcBorders>
          </w:tcPr>
          <w:p w14:paraId="63C541E4" w14:textId="0A3F1504" w:rsidR="002D3FFE" w:rsidRPr="005A4E5C" w:rsidRDefault="00F157B7" w:rsidP="00867D5F">
            <w:pPr>
              <w:rPr>
                <w:rFonts w:ascii="Museo Sans 100" w:eastAsia="Times New Roman" w:hAnsi="Museo Sans 100" w:cs="Calibri"/>
                <w:sz w:val="18"/>
                <w:szCs w:val="18"/>
              </w:rPr>
            </w:pPr>
            <w:r>
              <w:rPr>
                <w:rFonts w:ascii="Museo Sans 100" w:eastAsia="Times New Roman" w:hAnsi="Museo Sans 100" w:cs="Calibri"/>
                <w:sz w:val="18"/>
                <w:szCs w:val="18"/>
              </w:rPr>
              <w:t>Patrick Newberry</w:t>
            </w:r>
            <w:r w:rsidR="002D3FFE" w:rsidRPr="005A4E5C">
              <w:rPr>
                <w:rFonts w:ascii="Museo Sans 100" w:eastAsia="Times New Roman" w:hAnsi="Museo Sans 100" w:cs="Calibri"/>
                <w:sz w:val="18"/>
                <w:szCs w:val="18"/>
              </w:rPr>
              <w:t xml:space="preserve">; </w:t>
            </w:r>
            <w:r w:rsidR="001D1DD8">
              <w:rPr>
                <w:rFonts w:ascii="Museo Sans 100" w:eastAsia="Times New Roman" w:hAnsi="Museo Sans 100" w:cs="Calibri"/>
                <w:sz w:val="18"/>
                <w:szCs w:val="18"/>
              </w:rPr>
              <w:t>Chai</w:t>
            </w:r>
            <w:r w:rsidR="00AE18D1">
              <w:rPr>
                <w:rFonts w:ascii="Museo Sans 100" w:eastAsia="Times New Roman" w:hAnsi="Museo Sans 100" w:cs="Calibri"/>
                <w:sz w:val="18"/>
                <w:szCs w:val="18"/>
              </w:rPr>
              <w:t>r</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217DA5A4" w14:textId="4F207B3E" w:rsidR="002D3FFE" w:rsidRPr="00024F76" w:rsidRDefault="002D3FFE" w:rsidP="0006275C">
            <w:pPr>
              <w:pStyle w:val="ListParagraph"/>
              <w:numPr>
                <w:ilvl w:val="0"/>
                <w:numId w:val="10"/>
              </w:numPr>
              <w:ind w:left="173"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 xml:space="preserve">To consider and make recommendations in respect of appointments to the Board as well as the membership and </w:t>
            </w:r>
            <w:r w:rsidR="001E4E1F" w:rsidRPr="00024F76">
              <w:rPr>
                <w:rFonts w:ascii="Museo Sans 100" w:eastAsia="Times New Roman" w:hAnsi="Museo Sans 100" w:cs="Calibri"/>
                <w:sz w:val="18"/>
                <w:szCs w:val="18"/>
              </w:rPr>
              <w:t>chair</w:t>
            </w:r>
            <w:r w:rsidRPr="00024F76">
              <w:rPr>
                <w:rFonts w:ascii="Museo Sans 100" w:eastAsia="Times New Roman" w:hAnsi="Museo Sans 100" w:cs="Calibri"/>
                <w:sz w:val="18"/>
                <w:szCs w:val="18"/>
              </w:rPr>
              <w:t xml:space="preserve"> of Board Committees</w:t>
            </w:r>
            <w:r w:rsidR="00502C98" w:rsidRPr="00024F76">
              <w:rPr>
                <w:rFonts w:ascii="Museo Sans 100" w:eastAsia="Times New Roman" w:hAnsi="Museo Sans 100" w:cs="Calibri"/>
                <w:sz w:val="18"/>
                <w:szCs w:val="18"/>
              </w:rPr>
              <w:t>;</w:t>
            </w:r>
          </w:p>
          <w:p w14:paraId="48EF9555" w14:textId="77777777" w:rsidR="002D3FFE" w:rsidRPr="00024F76" w:rsidRDefault="002D3FFE" w:rsidP="0006275C">
            <w:pPr>
              <w:pStyle w:val="ListParagraph"/>
              <w:numPr>
                <w:ilvl w:val="0"/>
                <w:numId w:val="10"/>
              </w:numPr>
              <w:ind w:left="173"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To monitor the governance arrangements of the Bank making recommendations to ensure that such arrangements are consistent with best corporate governance standards and to develop best practice.</w:t>
            </w:r>
          </w:p>
          <w:p w14:paraId="6C4847F0" w14:textId="1C0DED48" w:rsidR="00BC35E4" w:rsidRPr="00024F76" w:rsidRDefault="00BC35E4" w:rsidP="0006275C">
            <w:pPr>
              <w:pStyle w:val="ListParagraph"/>
              <w:numPr>
                <w:ilvl w:val="0"/>
                <w:numId w:val="10"/>
              </w:numPr>
              <w:ind w:left="173" w:hanging="173"/>
              <w:jc w:val="both"/>
              <w:rPr>
                <w:rFonts w:ascii="Museo Sans 100" w:eastAsia="Times New Roman" w:hAnsi="Museo Sans 100" w:cs="Calibri"/>
                <w:sz w:val="18"/>
                <w:szCs w:val="18"/>
              </w:rPr>
            </w:pPr>
            <w:r w:rsidRPr="00024F76">
              <w:rPr>
                <w:rFonts w:ascii="Museo Sans 100" w:eastAsia="Times New Roman" w:hAnsi="Museo Sans 100" w:cs="Calibri"/>
                <w:sz w:val="18"/>
                <w:szCs w:val="18"/>
              </w:rPr>
              <w:t>To oversee the fulfilment of Directors responsibilities under the SMCR,</w:t>
            </w:r>
          </w:p>
        </w:tc>
      </w:tr>
      <w:bookmarkEnd w:id="33"/>
      <w:tr w:rsidR="002D3FFE" w:rsidRPr="00E41AE6" w14:paraId="0D731621" w14:textId="77777777" w:rsidTr="00163460">
        <w:trPr>
          <w:trHeight w:val="740"/>
        </w:trPr>
        <w:tc>
          <w:tcPr>
            <w:tcW w:w="733" w:type="pct"/>
            <w:tcBorders>
              <w:top w:val="single" w:sz="4" w:space="0" w:color="auto"/>
              <w:left w:val="single" w:sz="4" w:space="0" w:color="auto"/>
              <w:bottom w:val="single" w:sz="4" w:space="0" w:color="auto"/>
              <w:right w:val="single" w:sz="4" w:space="0" w:color="auto"/>
            </w:tcBorders>
            <w:shd w:val="clear" w:color="auto" w:fill="auto"/>
          </w:tcPr>
          <w:p w14:paraId="16AC96D7" w14:textId="77777777" w:rsidR="002D3FFE" w:rsidRPr="005A4E5C" w:rsidRDefault="002D3FFE" w:rsidP="00867D5F">
            <w:pPr>
              <w:rPr>
                <w:rFonts w:ascii="Museo Sans 100" w:eastAsia="Times New Roman" w:hAnsi="Museo Sans 100" w:cs="Calibri"/>
                <w:sz w:val="18"/>
                <w:szCs w:val="18"/>
              </w:rPr>
            </w:pPr>
            <w:r w:rsidRPr="005A4E5C">
              <w:rPr>
                <w:rFonts w:ascii="Museo Sans 100" w:eastAsia="Times New Roman" w:hAnsi="Museo Sans 100" w:cs="Calibri"/>
                <w:sz w:val="18"/>
                <w:szCs w:val="18"/>
              </w:rPr>
              <w:t>Executive</w:t>
            </w:r>
          </w:p>
        </w:tc>
        <w:tc>
          <w:tcPr>
            <w:tcW w:w="663" w:type="pct"/>
            <w:tcBorders>
              <w:top w:val="single" w:sz="4" w:space="0" w:color="auto"/>
              <w:left w:val="single" w:sz="4" w:space="0" w:color="auto"/>
              <w:bottom w:val="single" w:sz="4" w:space="0" w:color="auto"/>
              <w:right w:val="single" w:sz="4" w:space="0" w:color="auto"/>
            </w:tcBorders>
          </w:tcPr>
          <w:p w14:paraId="76236E99" w14:textId="705324F7" w:rsidR="002D3FFE" w:rsidRPr="005A4E5C" w:rsidRDefault="00B80502" w:rsidP="00867D5F">
            <w:pPr>
              <w:rPr>
                <w:rFonts w:ascii="Museo Sans 100" w:eastAsia="Times New Roman" w:hAnsi="Museo Sans 100" w:cs="Calibri"/>
                <w:sz w:val="18"/>
                <w:szCs w:val="18"/>
              </w:rPr>
            </w:pPr>
            <w:r>
              <w:rPr>
                <w:rFonts w:ascii="Museo Sans 100" w:eastAsia="Times New Roman" w:hAnsi="Museo Sans 100" w:cs="Calibri"/>
                <w:sz w:val="18"/>
                <w:szCs w:val="18"/>
              </w:rPr>
              <w:t xml:space="preserve">Donald Kerr; </w:t>
            </w:r>
            <w:r w:rsidR="002D3FFE" w:rsidRPr="005A4E5C">
              <w:rPr>
                <w:rFonts w:ascii="Museo Sans 100" w:eastAsia="Times New Roman" w:hAnsi="Museo Sans 100" w:cs="Calibri"/>
                <w:sz w:val="18"/>
                <w:szCs w:val="18"/>
              </w:rPr>
              <w:t xml:space="preserve">Chief Executive Officer </w:t>
            </w:r>
          </w:p>
          <w:p w14:paraId="4856E223" w14:textId="77777777" w:rsidR="002D3FFE" w:rsidRPr="005A4E5C" w:rsidRDefault="002D3FFE" w:rsidP="00867D5F">
            <w:pPr>
              <w:rPr>
                <w:rFonts w:ascii="Museo Sans 100" w:eastAsia="Times New Roman" w:hAnsi="Museo Sans 100" w:cs="Calibri"/>
                <w:sz w:val="18"/>
                <w:szCs w:val="18"/>
              </w:rPr>
            </w:pP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482E2A9C" w14:textId="77777777"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Implementation of the strategic objectives of the Bank in accordance with the Strategic Plan and compliance with the Company’s Budget and Risk Appetite;</w:t>
            </w:r>
          </w:p>
          <w:p w14:paraId="2E2590F8" w14:textId="77777777"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All day-to-day operational issues of the Bank which are delegated to the Business Management group; </w:t>
            </w:r>
          </w:p>
          <w:p w14:paraId="72373BF4" w14:textId="77777777"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Reviewing draft Board papers and recommending for submission to Board; </w:t>
            </w:r>
          </w:p>
          <w:p w14:paraId="4C03F2E1" w14:textId="3F4A7726"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Approving the Terms of Reference and responsibilities of the Business Change Committee and the Customer &amp; Product Committee and receive </w:t>
            </w:r>
            <w:r w:rsidR="003853A5">
              <w:rPr>
                <w:rFonts w:ascii="Museo Sans 100" w:eastAsia="Times New Roman" w:hAnsi="Museo Sans 100" w:cs="Calibri"/>
                <w:sz w:val="18"/>
                <w:szCs w:val="18"/>
              </w:rPr>
              <w:t>m</w:t>
            </w:r>
            <w:r w:rsidRPr="005A4E5C">
              <w:rPr>
                <w:rFonts w:ascii="Museo Sans 100" w:eastAsia="Times New Roman" w:hAnsi="Museo Sans 100" w:cs="Calibri"/>
                <w:sz w:val="18"/>
                <w:szCs w:val="18"/>
              </w:rPr>
              <w:t xml:space="preserve">inutes from these committees; </w:t>
            </w:r>
          </w:p>
          <w:p w14:paraId="4E8989AA"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Ensuring all responsibilities are undertaken with due consideration given to the Bank’s Strategic Plan, Board approved policies and good customer outcomes.</w:t>
            </w:r>
          </w:p>
        </w:tc>
      </w:tr>
      <w:tr w:rsidR="002D3FFE" w:rsidRPr="00E41AE6" w14:paraId="12CC569C" w14:textId="77777777" w:rsidTr="00163460">
        <w:trPr>
          <w:trHeight w:val="740"/>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13249B86" w14:textId="77777777" w:rsidR="002D3FFE" w:rsidRPr="005A4E5C" w:rsidRDefault="002D3FFE" w:rsidP="00867D5F">
            <w:pPr>
              <w:rPr>
                <w:rFonts w:ascii="Museo Sans 100" w:eastAsia="Times New Roman" w:hAnsi="Museo Sans 100" w:cs="Calibri"/>
                <w:sz w:val="18"/>
                <w:szCs w:val="18"/>
              </w:rPr>
            </w:pPr>
            <w:r w:rsidRPr="005A4E5C">
              <w:rPr>
                <w:rFonts w:ascii="Museo Sans 100" w:eastAsia="Times New Roman" w:hAnsi="Museo Sans 100" w:cs="Calibri"/>
                <w:sz w:val="18"/>
                <w:szCs w:val="18"/>
              </w:rPr>
              <w:lastRenderedPageBreak/>
              <w:t>Assets &amp; Liability (ALCO)</w:t>
            </w:r>
          </w:p>
        </w:tc>
        <w:tc>
          <w:tcPr>
            <w:tcW w:w="663" w:type="pct"/>
            <w:tcBorders>
              <w:top w:val="single" w:sz="4" w:space="0" w:color="auto"/>
              <w:left w:val="single" w:sz="4" w:space="0" w:color="auto"/>
              <w:bottom w:val="single" w:sz="4" w:space="0" w:color="auto"/>
              <w:right w:val="single" w:sz="4" w:space="0" w:color="auto"/>
            </w:tcBorders>
          </w:tcPr>
          <w:p w14:paraId="7E6F2B9B" w14:textId="088306D8" w:rsidR="002D3FFE" w:rsidRPr="005A4E5C" w:rsidRDefault="00B80502" w:rsidP="00867D5F">
            <w:pPr>
              <w:rPr>
                <w:rFonts w:ascii="Museo Sans 100" w:eastAsia="Times New Roman" w:hAnsi="Museo Sans 100" w:cs="Calibri"/>
                <w:sz w:val="18"/>
                <w:szCs w:val="18"/>
              </w:rPr>
            </w:pPr>
            <w:r>
              <w:rPr>
                <w:rFonts w:ascii="Museo Sans 100" w:eastAsia="Times New Roman" w:hAnsi="Museo Sans 100" w:cs="Calibri"/>
                <w:sz w:val="18"/>
                <w:szCs w:val="18"/>
              </w:rPr>
              <w:t xml:space="preserve">Andrea Hodgson; </w:t>
            </w:r>
            <w:r w:rsidR="002D3FFE" w:rsidRPr="005A4E5C">
              <w:rPr>
                <w:rFonts w:ascii="Museo Sans 100" w:eastAsia="Times New Roman" w:hAnsi="Museo Sans 100" w:cs="Calibri"/>
                <w:sz w:val="18"/>
                <w:szCs w:val="18"/>
              </w:rPr>
              <w:t>Chief Financial Officer</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9E8E7E7"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Control and stewardship of the Bank’s balance sheet risks and capital management in executing its chosen business strategy;</w:t>
            </w:r>
          </w:p>
          <w:p w14:paraId="47152F82" w14:textId="45A4D3A6" w:rsidR="002D3FFE" w:rsidRPr="005A4E5C" w:rsidRDefault="002D3FFE" w:rsidP="003853A5">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Setting of limits in line with the Board’s risk appetite, monitoring exposures </w:t>
            </w:r>
            <w:r w:rsidR="00260627" w:rsidRPr="005A4E5C">
              <w:rPr>
                <w:rFonts w:ascii="Museo Sans 100" w:eastAsia="Times New Roman" w:hAnsi="Museo Sans 100" w:cs="Calibri"/>
                <w:sz w:val="18"/>
                <w:szCs w:val="18"/>
              </w:rPr>
              <w:t>and</w:t>
            </w:r>
            <w:r w:rsidR="00260627">
              <w:rPr>
                <w:rFonts w:ascii="Museo Sans 100" w:eastAsia="Times New Roman" w:hAnsi="Museo Sans 100" w:cs="Calibri"/>
                <w:sz w:val="18"/>
                <w:szCs w:val="18"/>
              </w:rPr>
              <w:t xml:space="preserve"> implementing</w:t>
            </w:r>
            <w:r w:rsidRPr="005A4E5C">
              <w:rPr>
                <w:rFonts w:ascii="Museo Sans 100" w:eastAsia="Times New Roman" w:hAnsi="Museo Sans 100" w:cs="Calibri"/>
                <w:sz w:val="18"/>
                <w:szCs w:val="18"/>
              </w:rPr>
              <w:t xml:space="preserve"> controls across the dimensions of capital, credit</w:t>
            </w:r>
            <w:r w:rsidR="00867D5F">
              <w:rPr>
                <w:rFonts w:ascii="Museo Sans 100" w:eastAsia="Times New Roman" w:hAnsi="Museo Sans 100" w:cs="Calibri"/>
                <w:sz w:val="18"/>
                <w:szCs w:val="18"/>
              </w:rPr>
              <w:t xml:space="preserve">, </w:t>
            </w:r>
            <w:r w:rsidRPr="005A4E5C">
              <w:rPr>
                <w:rFonts w:ascii="Museo Sans 100" w:eastAsia="Times New Roman" w:hAnsi="Museo Sans 100" w:cs="Calibri"/>
                <w:sz w:val="18"/>
                <w:szCs w:val="18"/>
              </w:rPr>
              <w:t xml:space="preserve">funding </w:t>
            </w:r>
            <w:r w:rsidR="00260627" w:rsidRPr="005A4E5C">
              <w:rPr>
                <w:rFonts w:ascii="Museo Sans 100" w:eastAsia="Times New Roman" w:hAnsi="Museo Sans 100" w:cs="Calibri"/>
                <w:sz w:val="18"/>
                <w:szCs w:val="18"/>
              </w:rPr>
              <w:t xml:space="preserve">and </w:t>
            </w:r>
            <w:r w:rsidR="00260627">
              <w:rPr>
                <w:rFonts w:ascii="Museo Sans 100" w:eastAsia="Times New Roman" w:hAnsi="Museo Sans 100" w:cs="Calibri"/>
                <w:sz w:val="18"/>
                <w:szCs w:val="18"/>
              </w:rPr>
              <w:t>liquidity</w:t>
            </w:r>
            <w:r w:rsidRPr="005A4E5C">
              <w:rPr>
                <w:rFonts w:ascii="Museo Sans 100" w:eastAsia="Times New Roman" w:hAnsi="Museo Sans 100" w:cs="Calibri"/>
                <w:sz w:val="18"/>
                <w:szCs w:val="18"/>
              </w:rPr>
              <w:t>, and non-traded interest rate risk.</w:t>
            </w:r>
          </w:p>
        </w:tc>
      </w:tr>
      <w:tr w:rsidR="002D3FFE" w:rsidRPr="00E41AE6" w14:paraId="1AAF6753" w14:textId="77777777" w:rsidTr="00163460">
        <w:trPr>
          <w:trHeight w:val="560"/>
        </w:trPr>
        <w:tc>
          <w:tcPr>
            <w:tcW w:w="733" w:type="pct"/>
            <w:tcBorders>
              <w:top w:val="single" w:sz="4" w:space="0" w:color="auto"/>
              <w:left w:val="single" w:sz="4" w:space="0" w:color="auto"/>
              <w:bottom w:val="single" w:sz="4" w:space="0" w:color="auto"/>
              <w:right w:val="single" w:sz="4" w:space="0" w:color="auto"/>
            </w:tcBorders>
            <w:shd w:val="clear" w:color="auto" w:fill="auto"/>
          </w:tcPr>
          <w:p w14:paraId="442363FB"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Risk Management</w:t>
            </w:r>
          </w:p>
        </w:tc>
        <w:tc>
          <w:tcPr>
            <w:tcW w:w="663" w:type="pct"/>
            <w:tcBorders>
              <w:top w:val="single" w:sz="4" w:space="0" w:color="auto"/>
              <w:left w:val="single" w:sz="4" w:space="0" w:color="auto"/>
              <w:bottom w:val="single" w:sz="4" w:space="0" w:color="auto"/>
              <w:right w:val="single" w:sz="4" w:space="0" w:color="auto"/>
            </w:tcBorders>
          </w:tcPr>
          <w:p w14:paraId="1CBF6EB3" w14:textId="5935A304" w:rsidR="002D3FFE" w:rsidRPr="005A4E5C" w:rsidRDefault="00B80502"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 xml:space="preserve">Mike Hudson; </w:t>
            </w:r>
            <w:r w:rsidR="002D3FFE" w:rsidRPr="005A4E5C">
              <w:rPr>
                <w:rFonts w:ascii="Museo Sans 100" w:eastAsia="Times New Roman" w:hAnsi="Museo Sans 100" w:cs="Calibri"/>
                <w:sz w:val="18"/>
                <w:szCs w:val="18"/>
              </w:rPr>
              <w:t>Chief</w:t>
            </w:r>
            <w:r>
              <w:rPr>
                <w:rFonts w:ascii="Museo Sans 100" w:eastAsia="Times New Roman" w:hAnsi="Museo Sans 100" w:cs="Calibri"/>
                <w:sz w:val="18"/>
                <w:szCs w:val="18"/>
              </w:rPr>
              <w:t xml:space="preserve"> </w:t>
            </w:r>
            <w:r w:rsidR="002D3FFE" w:rsidRPr="005A4E5C">
              <w:rPr>
                <w:rFonts w:ascii="Museo Sans 100" w:eastAsia="Times New Roman" w:hAnsi="Museo Sans 100" w:cs="Calibri"/>
                <w:sz w:val="18"/>
                <w:szCs w:val="18"/>
              </w:rPr>
              <w:t>Risk Officer</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77068CAF" w14:textId="27787FA0"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oversee and monitor the risks facing the Bank on a day-to-day basis</w:t>
            </w:r>
            <w:r w:rsidR="00C72C26">
              <w:rPr>
                <w:rFonts w:ascii="Museo Sans 100" w:eastAsia="Times New Roman" w:hAnsi="Museo Sans 100" w:cs="Calibri"/>
                <w:sz w:val="18"/>
                <w:szCs w:val="18"/>
              </w:rPr>
              <w:t>;</w:t>
            </w:r>
            <w:r w:rsidRPr="005A4E5C">
              <w:rPr>
                <w:rFonts w:ascii="Museo Sans 100" w:eastAsia="Times New Roman" w:hAnsi="Museo Sans 100" w:cs="Calibri"/>
                <w:sz w:val="18"/>
                <w:szCs w:val="18"/>
              </w:rPr>
              <w:t xml:space="preserve"> </w:t>
            </w:r>
          </w:p>
          <w:p w14:paraId="5150169A" w14:textId="7B552B4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Specific responsibilities include operational risk, financial crime, conduct risk, operational resilience, legal </w:t>
            </w:r>
            <w:r w:rsidR="001E4E1F" w:rsidRPr="005A4E5C">
              <w:rPr>
                <w:rFonts w:ascii="Museo Sans 100" w:eastAsia="Times New Roman" w:hAnsi="Museo Sans 100" w:cs="Calibri"/>
                <w:sz w:val="18"/>
                <w:szCs w:val="18"/>
              </w:rPr>
              <w:t>risk,</w:t>
            </w:r>
            <w:r w:rsidRPr="005A4E5C">
              <w:rPr>
                <w:rFonts w:ascii="Museo Sans 100" w:eastAsia="Times New Roman" w:hAnsi="Museo Sans 100" w:cs="Calibri"/>
                <w:sz w:val="18"/>
                <w:szCs w:val="18"/>
              </w:rPr>
              <w:t xml:space="preserve"> and regulation</w:t>
            </w:r>
            <w:r w:rsidR="00C72C26">
              <w:rPr>
                <w:rFonts w:ascii="Museo Sans 100" w:eastAsia="Times New Roman" w:hAnsi="Museo Sans 100" w:cs="Calibri"/>
                <w:sz w:val="18"/>
                <w:szCs w:val="18"/>
              </w:rPr>
              <w:t>;</w:t>
            </w:r>
            <w:r w:rsidRPr="005A4E5C">
              <w:rPr>
                <w:rFonts w:ascii="Museo Sans 100" w:eastAsia="Times New Roman" w:hAnsi="Museo Sans 100" w:cs="Calibri"/>
                <w:sz w:val="18"/>
                <w:szCs w:val="18"/>
              </w:rPr>
              <w:t xml:space="preserve"> </w:t>
            </w:r>
          </w:p>
          <w:p w14:paraId="087FE3B2"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Its key role is to provide the oversight, challenge, support and</w:t>
            </w:r>
          </w:p>
          <w:p w14:paraId="2D4EDDA9" w14:textId="77777777"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advice necessary to embed and maintain a robust risk management culture</w:t>
            </w:r>
          </w:p>
          <w:p w14:paraId="459A6680" w14:textId="532F83A7"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across the Bank</w:t>
            </w:r>
            <w:r w:rsidR="00C72C26">
              <w:rPr>
                <w:rFonts w:ascii="Museo Sans 100" w:eastAsia="Times New Roman" w:hAnsi="Museo Sans 100" w:cs="Calibri"/>
                <w:sz w:val="18"/>
                <w:szCs w:val="18"/>
              </w:rPr>
              <w:t>;</w:t>
            </w:r>
          </w:p>
          <w:p w14:paraId="7266D0F1" w14:textId="641685BD" w:rsidR="002D3FFE" w:rsidRPr="00C72C26" w:rsidRDefault="002D3FFE" w:rsidP="00C72C26">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ensure that the Bank maintains an appropriate risk management culture</w:t>
            </w:r>
            <w:r w:rsidR="00C72C26">
              <w:rPr>
                <w:rFonts w:ascii="Museo Sans 100" w:eastAsia="Times New Roman" w:hAnsi="Museo Sans 100" w:cs="Calibri"/>
                <w:sz w:val="18"/>
                <w:szCs w:val="18"/>
              </w:rPr>
              <w:t xml:space="preserve"> </w:t>
            </w:r>
            <w:r w:rsidRPr="00C72C26">
              <w:rPr>
                <w:rFonts w:ascii="Museo Sans 100" w:eastAsia="Times New Roman" w:hAnsi="Museo Sans 100" w:cs="Calibri"/>
                <w:sz w:val="18"/>
                <w:szCs w:val="18"/>
              </w:rPr>
              <w:t>and an effective Risk Management Framework</w:t>
            </w:r>
            <w:r w:rsidR="00C72C26" w:rsidRPr="00C72C26">
              <w:rPr>
                <w:rFonts w:ascii="Museo Sans 100" w:eastAsia="Times New Roman" w:hAnsi="Museo Sans 100" w:cs="Calibri"/>
                <w:sz w:val="18"/>
                <w:szCs w:val="18"/>
              </w:rPr>
              <w:t>;</w:t>
            </w:r>
          </w:p>
          <w:p w14:paraId="6D6AA030"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review the findings of Risk &amp; Compliance reviews and monitoring the</w:t>
            </w:r>
          </w:p>
          <w:p w14:paraId="2E904E58" w14:textId="72C3E053"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remediation of outstanding action items</w:t>
            </w:r>
            <w:r w:rsidR="00C72C26">
              <w:rPr>
                <w:rFonts w:ascii="Museo Sans 100" w:eastAsia="Times New Roman" w:hAnsi="Museo Sans 100" w:cs="Calibri"/>
                <w:sz w:val="18"/>
                <w:szCs w:val="18"/>
              </w:rPr>
              <w:t>;</w:t>
            </w:r>
          </w:p>
          <w:p w14:paraId="711A5803" w14:textId="5F81D05A"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Oversight of the remediation of Internal Audit findings</w:t>
            </w:r>
            <w:r w:rsidR="00C72C26">
              <w:rPr>
                <w:rFonts w:ascii="Museo Sans 100" w:eastAsia="Times New Roman" w:hAnsi="Museo Sans 100" w:cs="Calibri"/>
                <w:sz w:val="18"/>
                <w:szCs w:val="18"/>
              </w:rPr>
              <w:t>.</w:t>
            </w:r>
          </w:p>
        </w:tc>
      </w:tr>
      <w:tr w:rsidR="002D3FFE" w:rsidRPr="00E41AE6" w14:paraId="2C7F0465" w14:textId="77777777" w:rsidTr="00163460">
        <w:trPr>
          <w:trHeight w:val="1048"/>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561B94EC"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Credit</w:t>
            </w:r>
          </w:p>
        </w:tc>
        <w:tc>
          <w:tcPr>
            <w:tcW w:w="663" w:type="pct"/>
            <w:tcBorders>
              <w:top w:val="single" w:sz="4" w:space="0" w:color="auto"/>
              <w:left w:val="single" w:sz="4" w:space="0" w:color="auto"/>
              <w:bottom w:val="single" w:sz="4" w:space="0" w:color="auto"/>
              <w:right w:val="single" w:sz="4" w:space="0" w:color="auto"/>
            </w:tcBorders>
          </w:tcPr>
          <w:p w14:paraId="7B2CFD4B" w14:textId="0E65B871" w:rsidR="002D3FFE" w:rsidRPr="005A4E5C" w:rsidRDefault="00650172"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 xml:space="preserve">David Monks; </w:t>
            </w:r>
            <w:r w:rsidR="002D3FFE" w:rsidRPr="005A4E5C">
              <w:rPr>
                <w:rFonts w:ascii="Museo Sans 100" w:eastAsia="Times New Roman" w:hAnsi="Museo Sans 100" w:cs="Calibri"/>
                <w:sz w:val="18"/>
                <w:szCs w:val="18"/>
              </w:rPr>
              <w:t>Chief Lending Officer</w:t>
            </w:r>
          </w:p>
          <w:p w14:paraId="07FE251A" w14:textId="77777777" w:rsidR="002D3FFE" w:rsidRPr="005A4E5C" w:rsidRDefault="002D3FFE" w:rsidP="00867D5F">
            <w:pPr>
              <w:ind w:right="35"/>
              <w:rPr>
                <w:rFonts w:ascii="Museo Sans 100" w:eastAsia="Times New Roman" w:hAnsi="Museo Sans 100" w:cs="Calibri"/>
                <w:sz w:val="18"/>
                <w:szCs w:val="18"/>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3BE21DDA" w14:textId="77777777"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Manage and monitor the lending activities of the Bank on a day-to-day basis. </w:t>
            </w:r>
          </w:p>
          <w:p w14:paraId="6CA01201" w14:textId="72FCBFBE"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Formulating the Bank's lending policies, overseeing the Bank's solicitor and valuation panels, and monitoring the Bank's large exposures. The committee are also responsible for agreeing the Bank's standard facility letters and terms</w:t>
            </w:r>
            <w:r w:rsidR="00502C98">
              <w:rPr>
                <w:rFonts w:ascii="Museo Sans 100" w:eastAsia="Times New Roman" w:hAnsi="Museo Sans 100" w:cs="Calibri"/>
                <w:sz w:val="18"/>
                <w:szCs w:val="18"/>
              </w:rPr>
              <w:t>;</w:t>
            </w:r>
          </w:p>
          <w:p w14:paraId="53DF9A16" w14:textId="77777777"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Monitor current and potential non-performing lending on an on-going basis, for the purpose of identifying and agreeing appropriate provisions for under-recoveries on those loans;</w:t>
            </w:r>
          </w:p>
          <w:p w14:paraId="44272338" w14:textId="54C4DDF0"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Responsibility for the ongoing oversight and management of current and potential non-performing loans.</w:t>
            </w:r>
          </w:p>
        </w:tc>
      </w:tr>
      <w:tr w:rsidR="002D3FFE" w:rsidRPr="00E41AE6" w14:paraId="6F8B2AF9" w14:textId="77777777" w:rsidTr="00163460">
        <w:trPr>
          <w:trHeight w:val="560"/>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1FD8637F"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Customer &amp; Product</w:t>
            </w:r>
          </w:p>
        </w:tc>
        <w:tc>
          <w:tcPr>
            <w:tcW w:w="663" w:type="pct"/>
            <w:tcBorders>
              <w:top w:val="single" w:sz="4" w:space="0" w:color="auto"/>
              <w:left w:val="single" w:sz="4" w:space="0" w:color="auto"/>
              <w:bottom w:val="single" w:sz="4" w:space="0" w:color="auto"/>
              <w:right w:val="single" w:sz="4" w:space="0" w:color="auto"/>
            </w:tcBorders>
          </w:tcPr>
          <w:p w14:paraId="4B6DB995" w14:textId="517A641F" w:rsidR="002D3FFE" w:rsidRPr="005A4E5C" w:rsidRDefault="00650172"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 xml:space="preserve">Christian Cowie; </w:t>
            </w:r>
            <w:r w:rsidR="002D3FFE">
              <w:rPr>
                <w:rFonts w:ascii="Museo Sans 100" w:eastAsia="Times New Roman" w:hAnsi="Museo Sans 100" w:cs="Calibri"/>
                <w:sz w:val="18"/>
                <w:szCs w:val="18"/>
              </w:rPr>
              <w:t>Director of Marketing &amp; Savings</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4B7556AE" w14:textId="232045E5"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bookmarkStart w:id="34" w:name="_Hlk531701344"/>
            <w:r w:rsidRPr="005A4E5C">
              <w:rPr>
                <w:rFonts w:ascii="Museo Sans 100" w:eastAsia="Times New Roman" w:hAnsi="Museo Sans 100" w:cs="Calibri"/>
                <w:sz w:val="18"/>
                <w:szCs w:val="18"/>
              </w:rPr>
              <w:t>Oversight of customer outcomes that result from Bank</w:t>
            </w:r>
            <w:r w:rsidR="003853A5">
              <w:rPr>
                <w:rFonts w:ascii="Museo Sans 100" w:eastAsia="Times New Roman" w:hAnsi="Museo Sans 100" w:cs="Calibri"/>
                <w:sz w:val="18"/>
                <w:szCs w:val="18"/>
              </w:rPr>
              <w:t>’s</w:t>
            </w:r>
            <w:r w:rsidRPr="005A4E5C">
              <w:rPr>
                <w:rFonts w:ascii="Museo Sans 100" w:eastAsia="Times New Roman" w:hAnsi="Museo Sans 100" w:cs="Calibri"/>
                <w:sz w:val="18"/>
                <w:szCs w:val="18"/>
              </w:rPr>
              <w:t xml:space="preserve"> operations, as well as the suite of products offered, including the product design, pricing, performance, and customer suitability</w:t>
            </w:r>
            <w:bookmarkEnd w:id="34"/>
            <w:r w:rsidRPr="005A4E5C">
              <w:rPr>
                <w:rFonts w:ascii="Museo Sans 100" w:eastAsia="Times New Roman" w:hAnsi="Museo Sans 100" w:cs="Calibri"/>
                <w:sz w:val="18"/>
                <w:szCs w:val="18"/>
              </w:rPr>
              <w:t>.</w:t>
            </w:r>
          </w:p>
        </w:tc>
      </w:tr>
      <w:tr w:rsidR="002D3FFE" w:rsidRPr="00E41AE6" w14:paraId="46919CA6" w14:textId="77777777" w:rsidTr="00163460">
        <w:trPr>
          <w:trHeight w:val="416"/>
        </w:trPr>
        <w:tc>
          <w:tcPr>
            <w:tcW w:w="733" w:type="pct"/>
            <w:tcBorders>
              <w:top w:val="single" w:sz="4" w:space="0" w:color="auto"/>
              <w:left w:val="single" w:sz="4" w:space="0" w:color="auto"/>
              <w:bottom w:val="single" w:sz="4" w:space="0" w:color="auto"/>
              <w:right w:val="single" w:sz="4" w:space="0" w:color="auto"/>
            </w:tcBorders>
            <w:shd w:val="clear" w:color="auto" w:fill="auto"/>
            <w:hideMark/>
          </w:tcPr>
          <w:p w14:paraId="48FC8386"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Business Change </w:t>
            </w:r>
          </w:p>
        </w:tc>
        <w:tc>
          <w:tcPr>
            <w:tcW w:w="663" w:type="pct"/>
            <w:tcBorders>
              <w:top w:val="single" w:sz="4" w:space="0" w:color="auto"/>
              <w:left w:val="nil"/>
              <w:bottom w:val="single" w:sz="4" w:space="0" w:color="auto"/>
              <w:right w:val="single" w:sz="4" w:space="0" w:color="auto"/>
            </w:tcBorders>
            <w:shd w:val="clear" w:color="auto" w:fill="auto"/>
          </w:tcPr>
          <w:p w14:paraId="1A4E8945" w14:textId="04B42348" w:rsidR="002D3FFE" w:rsidRPr="005A4E5C" w:rsidRDefault="00650172"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 xml:space="preserve">David Holton; </w:t>
            </w:r>
            <w:r w:rsidR="002D3FFE" w:rsidRPr="005A4E5C">
              <w:rPr>
                <w:rFonts w:ascii="Museo Sans 100" w:eastAsia="Times New Roman" w:hAnsi="Museo Sans 100" w:cs="Calibri"/>
                <w:sz w:val="18"/>
                <w:szCs w:val="18"/>
              </w:rPr>
              <w:t>Chief Transform-ation Officer</w:t>
            </w:r>
            <w:r w:rsidR="002D3FFE" w:rsidRPr="005A4E5C">
              <w:rPr>
                <w:rFonts w:ascii="Museo Sans 100" w:eastAsia="Times New Roman" w:hAnsi="Museo Sans 100" w:cs="Calibri"/>
                <w:sz w:val="18"/>
                <w:szCs w:val="18"/>
              </w:rPr>
              <w:br/>
            </w:r>
          </w:p>
          <w:p w14:paraId="51F4CA85" w14:textId="77777777" w:rsidR="002D3FFE" w:rsidRPr="005A4E5C" w:rsidRDefault="002D3FFE" w:rsidP="00867D5F">
            <w:pPr>
              <w:pStyle w:val="ListParagraph"/>
              <w:ind w:left="173" w:right="35"/>
              <w:rPr>
                <w:rFonts w:ascii="Museo Sans 100" w:eastAsia="Times New Roman" w:hAnsi="Museo Sans 100" w:cs="Calibri"/>
                <w:sz w:val="18"/>
                <w:szCs w:val="18"/>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F8C6957" w14:textId="117D2B25" w:rsidR="002D3FFE" w:rsidRPr="007F4A5F" w:rsidRDefault="002D3FFE" w:rsidP="007F4A5F">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manage the effective delivery of the business change agenda</w:t>
            </w:r>
            <w:r w:rsidR="007F4A5F">
              <w:rPr>
                <w:rFonts w:ascii="Museo Sans 100" w:eastAsia="Times New Roman" w:hAnsi="Museo Sans 100" w:cs="Calibri"/>
                <w:sz w:val="18"/>
                <w:szCs w:val="18"/>
              </w:rPr>
              <w:t xml:space="preserve"> i</w:t>
            </w:r>
            <w:r w:rsidRPr="007F4A5F">
              <w:rPr>
                <w:rFonts w:ascii="Museo Sans 100" w:eastAsia="Times New Roman" w:hAnsi="Museo Sans 100" w:cs="Calibri"/>
                <w:sz w:val="18"/>
                <w:szCs w:val="18"/>
              </w:rPr>
              <w:t>ncluding the people side of change</w:t>
            </w:r>
            <w:r w:rsidR="00502C98" w:rsidRPr="007F4A5F">
              <w:rPr>
                <w:rFonts w:ascii="Museo Sans 100" w:eastAsia="Times New Roman" w:hAnsi="Museo Sans 100" w:cs="Calibri"/>
                <w:sz w:val="18"/>
                <w:szCs w:val="18"/>
              </w:rPr>
              <w:t>;</w:t>
            </w:r>
          </w:p>
          <w:p w14:paraId="68B1E3BA"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prioritise the CCB Change Programme to align with business</w:t>
            </w:r>
          </w:p>
          <w:p w14:paraId="6E20A9F4" w14:textId="5A7C5CBD" w:rsidR="002D3FFE" w:rsidRPr="00C72C26" w:rsidRDefault="002D3FFE" w:rsidP="00C72C26">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priorities and ensuring delivery to agreed timescales, scope, </w:t>
            </w:r>
            <w:r w:rsidR="001E4E1F" w:rsidRPr="005A4E5C">
              <w:rPr>
                <w:rFonts w:ascii="Museo Sans 100" w:eastAsia="Times New Roman" w:hAnsi="Museo Sans 100" w:cs="Calibri"/>
                <w:sz w:val="18"/>
                <w:szCs w:val="18"/>
              </w:rPr>
              <w:t>budget,</w:t>
            </w:r>
            <w:r w:rsidR="00C72C26">
              <w:rPr>
                <w:rFonts w:ascii="Museo Sans 100" w:eastAsia="Times New Roman" w:hAnsi="Museo Sans 100" w:cs="Calibri"/>
                <w:sz w:val="18"/>
                <w:szCs w:val="18"/>
              </w:rPr>
              <w:t xml:space="preserve"> </w:t>
            </w:r>
            <w:r w:rsidRPr="00C72C26">
              <w:rPr>
                <w:rFonts w:ascii="Museo Sans 100" w:eastAsia="Times New Roman" w:hAnsi="Museo Sans 100" w:cs="Calibri"/>
                <w:sz w:val="18"/>
                <w:szCs w:val="18"/>
              </w:rPr>
              <w:t>and available resources</w:t>
            </w:r>
            <w:r w:rsidR="00502C98">
              <w:rPr>
                <w:rFonts w:ascii="Museo Sans 100" w:eastAsia="Times New Roman" w:hAnsi="Museo Sans 100" w:cs="Calibri"/>
                <w:sz w:val="18"/>
                <w:szCs w:val="18"/>
              </w:rPr>
              <w:t>;</w:t>
            </w:r>
          </w:p>
          <w:p w14:paraId="7624F278"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assess all new business investment cases and change requests,</w:t>
            </w:r>
          </w:p>
          <w:p w14:paraId="0276D71D" w14:textId="77777777"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ensuring that they are aligned with strategic business objectives and</w:t>
            </w:r>
          </w:p>
          <w:p w14:paraId="24272E35" w14:textId="1D0B0F29"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tactical priorities</w:t>
            </w:r>
            <w:r w:rsidR="00502C98">
              <w:rPr>
                <w:rFonts w:ascii="Museo Sans 100" w:eastAsia="Times New Roman" w:hAnsi="Museo Sans 100" w:cs="Calibri"/>
                <w:sz w:val="18"/>
                <w:szCs w:val="18"/>
              </w:rPr>
              <w:t>;</w:t>
            </w:r>
          </w:p>
          <w:p w14:paraId="0E24635A" w14:textId="67661A6E"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To ensure benefits realisation </w:t>
            </w:r>
            <w:proofErr w:type="gramStart"/>
            <w:r w:rsidRPr="005A4E5C">
              <w:rPr>
                <w:rFonts w:ascii="Museo Sans 100" w:eastAsia="Times New Roman" w:hAnsi="Museo Sans 100" w:cs="Calibri"/>
                <w:sz w:val="18"/>
                <w:szCs w:val="18"/>
              </w:rPr>
              <w:t>as a result of</w:t>
            </w:r>
            <w:proofErr w:type="gramEnd"/>
            <w:r w:rsidRPr="005A4E5C">
              <w:rPr>
                <w:rFonts w:ascii="Museo Sans 100" w:eastAsia="Times New Roman" w:hAnsi="Museo Sans 100" w:cs="Calibri"/>
                <w:sz w:val="18"/>
                <w:szCs w:val="18"/>
              </w:rPr>
              <w:t xml:space="preserve"> change investments</w:t>
            </w:r>
            <w:r w:rsidR="00502C98">
              <w:rPr>
                <w:rFonts w:ascii="Museo Sans 100" w:eastAsia="Times New Roman" w:hAnsi="Museo Sans 100" w:cs="Calibri"/>
                <w:sz w:val="18"/>
                <w:szCs w:val="18"/>
              </w:rPr>
              <w:t>;</w:t>
            </w:r>
          </w:p>
          <w:p w14:paraId="250431BD"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Assessment, approval, or recommendation of significant changes to inflight</w:t>
            </w:r>
          </w:p>
          <w:p w14:paraId="2CF4E26C" w14:textId="482C59DB"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Projects</w:t>
            </w:r>
            <w:r w:rsidR="00502C98">
              <w:rPr>
                <w:rFonts w:ascii="Museo Sans 100" w:eastAsia="Times New Roman" w:hAnsi="Museo Sans 100" w:cs="Calibri"/>
                <w:sz w:val="18"/>
                <w:szCs w:val="18"/>
              </w:rPr>
              <w:t>;</w:t>
            </w:r>
          </w:p>
          <w:p w14:paraId="499F1D01" w14:textId="77777777" w:rsidR="002D3FFE" w:rsidRPr="005A4E5C" w:rsidRDefault="002D3FFE" w:rsidP="0006275C">
            <w:pPr>
              <w:pStyle w:val="ListParagraph"/>
              <w:numPr>
                <w:ilvl w:val="0"/>
                <w:numId w:val="9"/>
              </w:numPr>
              <w:ind w:left="173"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Management of the overall risks of the CCB Change programme within</w:t>
            </w:r>
          </w:p>
          <w:p w14:paraId="78288C0C" w14:textId="77777777" w:rsidR="002D3FFE" w:rsidRPr="005A4E5C" w:rsidRDefault="002D3FFE" w:rsidP="0006275C">
            <w:pPr>
              <w:pStyle w:val="ListParagraph"/>
              <w:ind w:left="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acceptable appetite, including people risks of change.</w:t>
            </w:r>
          </w:p>
        </w:tc>
      </w:tr>
      <w:tr w:rsidR="002D3FFE" w:rsidRPr="00E41AE6" w14:paraId="545B3431" w14:textId="77777777" w:rsidTr="00163460">
        <w:trPr>
          <w:trHeight w:val="1048"/>
        </w:trPr>
        <w:tc>
          <w:tcPr>
            <w:tcW w:w="733" w:type="pct"/>
            <w:tcBorders>
              <w:top w:val="single" w:sz="4" w:space="0" w:color="auto"/>
              <w:left w:val="single" w:sz="4" w:space="0" w:color="auto"/>
              <w:bottom w:val="single" w:sz="4" w:space="0" w:color="auto"/>
              <w:right w:val="single" w:sz="4" w:space="0" w:color="auto"/>
            </w:tcBorders>
            <w:shd w:val="clear" w:color="auto" w:fill="auto"/>
          </w:tcPr>
          <w:p w14:paraId="5B33628C"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Impairment &amp; Provisions </w:t>
            </w:r>
          </w:p>
        </w:tc>
        <w:tc>
          <w:tcPr>
            <w:tcW w:w="663" w:type="pct"/>
            <w:tcBorders>
              <w:top w:val="single" w:sz="4" w:space="0" w:color="auto"/>
              <w:left w:val="single" w:sz="4" w:space="0" w:color="auto"/>
              <w:bottom w:val="single" w:sz="4" w:space="0" w:color="auto"/>
              <w:right w:val="single" w:sz="4" w:space="0" w:color="auto"/>
            </w:tcBorders>
          </w:tcPr>
          <w:p w14:paraId="5D587152" w14:textId="01AC133A" w:rsidR="002D3FFE" w:rsidRPr="005A4E5C" w:rsidRDefault="00B80502"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 xml:space="preserve">Andrea Hodgson; </w:t>
            </w:r>
            <w:r w:rsidR="002D3FFE" w:rsidRPr="005A4E5C">
              <w:rPr>
                <w:rFonts w:ascii="Museo Sans 100" w:eastAsia="Times New Roman" w:hAnsi="Museo Sans 100" w:cs="Calibri"/>
                <w:sz w:val="18"/>
                <w:szCs w:val="18"/>
              </w:rPr>
              <w:t xml:space="preserve">Chief Financial Officer </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142B1898" w14:textId="1EB15EC0" w:rsidR="002D3FFE" w:rsidRPr="002769E0" w:rsidRDefault="002D3FFE" w:rsidP="002769E0">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The purpose of the Committee is to monitor current and potential non-performing lending on an on-going basis, for the purposes of identifying and agreeing appropriate provisions for under-recoveries on those loans</w:t>
            </w:r>
            <w:r w:rsidR="00502C98">
              <w:rPr>
                <w:rFonts w:ascii="Museo Sans 100" w:eastAsia="Times New Roman" w:hAnsi="Museo Sans 100" w:cs="Calibri"/>
                <w:sz w:val="18"/>
                <w:szCs w:val="18"/>
              </w:rPr>
              <w:t>;</w:t>
            </w:r>
          </w:p>
        </w:tc>
      </w:tr>
      <w:tr w:rsidR="002D3FFE" w:rsidRPr="00E41AE6" w14:paraId="13FF2367" w14:textId="77777777" w:rsidTr="00163460">
        <w:trPr>
          <w:trHeight w:val="1048"/>
        </w:trPr>
        <w:tc>
          <w:tcPr>
            <w:tcW w:w="733" w:type="pct"/>
            <w:tcBorders>
              <w:top w:val="single" w:sz="4" w:space="0" w:color="auto"/>
              <w:left w:val="single" w:sz="4" w:space="0" w:color="auto"/>
              <w:bottom w:val="single" w:sz="4" w:space="0" w:color="auto"/>
              <w:right w:val="single" w:sz="4" w:space="0" w:color="auto"/>
            </w:tcBorders>
            <w:shd w:val="clear" w:color="auto" w:fill="auto"/>
          </w:tcPr>
          <w:p w14:paraId="49EE25C0"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Model Risk Governance</w:t>
            </w:r>
          </w:p>
        </w:tc>
        <w:tc>
          <w:tcPr>
            <w:tcW w:w="663" w:type="pct"/>
            <w:tcBorders>
              <w:top w:val="single" w:sz="4" w:space="0" w:color="auto"/>
              <w:left w:val="single" w:sz="4" w:space="0" w:color="auto"/>
              <w:bottom w:val="single" w:sz="4" w:space="0" w:color="auto"/>
              <w:right w:val="single" w:sz="4" w:space="0" w:color="auto"/>
            </w:tcBorders>
          </w:tcPr>
          <w:p w14:paraId="502B0A72" w14:textId="5CFFF6CD" w:rsidR="002D3FFE" w:rsidRPr="005A4E5C" w:rsidRDefault="00B80502"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Mike Hudson</w:t>
            </w:r>
            <w:r w:rsidR="00650172">
              <w:rPr>
                <w:rFonts w:ascii="Museo Sans 100" w:eastAsia="Times New Roman" w:hAnsi="Museo Sans 100" w:cs="Calibri"/>
                <w:sz w:val="18"/>
                <w:szCs w:val="18"/>
              </w:rPr>
              <w:t>;</w:t>
            </w:r>
            <w:r>
              <w:rPr>
                <w:rFonts w:ascii="Museo Sans 100" w:eastAsia="Times New Roman" w:hAnsi="Museo Sans 100" w:cs="Calibri"/>
                <w:sz w:val="18"/>
                <w:szCs w:val="18"/>
              </w:rPr>
              <w:t xml:space="preserve"> </w:t>
            </w:r>
            <w:r w:rsidR="002D3FFE" w:rsidRPr="005A4E5C">
              <w:rPr>
                <w:rFonts w:ascii="Museo Sans 100" w:eastAsia="Times New Roman" w:hAnsi="Museo Sans 100" w:cs="Calibri"/>
                <w:sz w:val="18"/>
                <w:szCs w:val="18"/>
              </w:rPr>
              <w:t>Chief Risk Officer</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1E3C8D22" w14:textId="12A61AE4"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Responsibility for the management and oversight of financial models used within the </w:t>
            </w:r>
            <w:r w:rsidR="00A54DDB">
              <w:rPr>
                <w:rFonts w:ascii="Museo Sans 100" w:eastAsia="Times New Roman" w:hAnsi="Museo Sans 100" w:cs="Calibri"/>
                <w:sz w:val="18"/>
                <w:szCs w:val="18"/>
              </w:rPr>
              <w:t>Bank</w:t>
            </w:r>
            <w:r w:rsidRPr="005A4E5C">
              <w:rPr>
                <w:rFonts w:ascii="Museo Sans 100" w:eastAsia="Times New Roman" w:hAnsi="Museo Sans 100" w:cs="Calibri"/>
                <w:sz w:val="18"/>
                <w:szCs w:val="18"/>
              </w:rPr>
              <w:t>.</w:t>
            </w:r>
          </w:p>
        </w:tc>
      </w:tr>
      <w:tr w:rsidR="002D3FFE" w:rsidRPr="00DE07EB" w14:paraId="2711BF1A" w14:textId="77777777" w:rsidTr="00163460">
        <w:trPr>
          <w:trHeight w:val="1048"/>
        </w:trPr>
        <w:tc>
          <w:tcPr>
            <w:tcW w:w="733" w:type="pct"/>
            <w:tcBorders>
              <w:top w:val="single" w:sz="4" w:space="0" w:color="auto"/>
              <w:left w:val="single" w:sz="4" w:space="0" w:color="auto"/>
              <w:bottom w:val="single" w:sz="4" w:space="0" w:color="auto"/>
              <w:right w:val="single" w:sz="4" w:space="0" w:color="auto"/>
            </w:tcBorders>
            <w:shd w:val="clear" w:color="auto" w:fill="auto"/>
          </w:tcPr>
          <w:p w14:paraId="3DFDD5EC" w14:textId="77777777" w:rsidR="002D3FFE" w:rsidRPr="005A4E5C" w:rsidRDefault="002D3FFE" w:rsidP="00867D5F">
            <w:pPr>
              <w:ind w:right="35"/>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Environmental, Social and Governance Steering </w:t>
            </w:r>
          </w:p>
        </w:tc>
        <w:tc>
          <w:tcPr>
            <w:tcW w:w="663" w:type="pct"/>
            <w:tcBorders>
              <w:top w:val="single" w:sz="4" w:space="0" w:color="auto"/>
              <w:left w:val="single" w:sz="4" w:space="0" w:color="auto"/>
              <w:bottom w:val="single" w:sz="4" w:space="0" w:color="auto"/>
              <w:right w:val="single" w:sz="4" w:space="0" w:color="auto"/>
            </w:tcBorders>
          </w:tcPr>
          <w:p w14:paraId="4E049EB8" w14:textId="6E025E7A" w:rsidR="002D3FFE" w:rsidRPr="005A4E5C" w:rsidRDefault="00A1739A" w:rsidP="00867D5F">
            <w:pPr>
              <w:ind w:right="35"/>
              <w:rPr>
                <w:rFonts w:ascii="Museo Sans 100" w:eastAsia="Times New Roman" w:hAnsi="Museo Sans 100" w:cs="Calibri"/>
                <w:sz w:val="18"/>
                <w:szCs w:val="18"/>
              </w:rPr>
            </w:pPr>
            <w:r>
              <w:rPr>
                <w:rFonts w:ascii="Museo Sans 100" w:eastAsia="Times New Roman" w:hAnsi="Museo Sans 100" w:cs="Calibri"/>
                <w:sz w:val="18"/>
                <w:szCs w:val="18"/>
              </w:rPr>
              <w:t xml:space="preserve">Richard Bryan; </w:t>
            </w:r>
            <w:r w:rsidR="00C33C41">
              <w:rPr>
                <w:rFonts w:ascii="Museo Sans 100" w:eastAsia="Times New Roman" w:hAnsi="Museo Sans 100" w:cs="Calibri"/>
                <w:sz w:val="18"/>
                <w:szCs w:val="18"/>
              </w:rPr>
              <w:t xml:space="preserve">General Counsel </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2249C679" w14:textId="06687BDC"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To lead the Bank’s response to the risks, challenges and opportunities presented by factors influencing environmental, social and governance</w:t>
            </w:r>
            <w:r w:rsidR="00502C98">
              <w:rPr>
                <w:rFonts w:ascii="Museo Sans 100" w:eastAsia="Times New Roman" w:hAnsi="Museo Sans 100" w:cs="Calibri"/>
                <w:sz w:val="18"/>
                <w:szCs w:val="18"/>
              </w:rPr>
              <w:t>;</w:t>
            </w:r>
          </w:p>
          <w:p w14:paraId="034FCA55" w14:textId="4AB2B7F9" w:rsidR="002D3FFE" w:rsidRPr="005A4E5C" w:rsidRDefault="002D3FFE" w:rsidP="0006275C">
            <w:pPr>
              <w:pStyle w:val="ListParagraph"/>
              <w:numPr>
                <w:ilvl w:val="0"/>
                <w:numId w:val="8"/>
              </w:numPr>
              <w:ind w:left="173" w:right="35" w:hanging="173"/>
              <w:jc w:val="both"/>
              <w:rPr>
                <w:rFonts w:ascii="Museo Sans 100" w:eastAsia="Times New Roman" w:hAnsi="Museo Sans 100" w:cs="Calibri"/>
                <w:sz w:val="18"/>
                <w:szCs w:val="18"/>
              </w:rPr>
            </w:pPr>
            <w:r w:rsidRPr="005A4E5C">
              <w:rPr>
                <w:rFonts w:ascii="Museo Sans 100" w:eastAsia="Times New Roman" w:hAnsi="Museo Sans 100" w:cs="Calibri"/>
                <w:sz w:val="18"/>
                <w:szCs w:val="18"/>
              </w:rPr>
              <w:t xml:space="preserve">The collection, management, and analysis of physical climate risk data </w:t>
            </w:r>
            <w:r w:rsidR="006A62FF" w:rsidRPr="005A4E5C">
              <w:rPr>
                <w:rFonts w:ascii="Museo Sans 100" w:eastAsia="Times New Roman" w:hAnsi="Museo Sans 100" w:cs="Calibri"/>
                <w:sz w:val="18"/>
                <w:szCs w:val="18"/>
              </w:rPr>
              <w:t>to</w:t>
            </w:r>
            <w:r w:rsidRPr="005A4E5C">
              <w:rPr>
                <w:rFonts w:ascii="Museo Sans 100" w:eastAsia="Times New Roman" w:hAnsi="Museo Sans 100" w:cs="Calibri"/>
                <w:sz w:val="18"/>
                <w:szCs w:val="18"/>
              </w:rPr>
              <w:t xml:space="preserve"> meet the changing expectations of society, investors, stakeholders, and the financial regulators. </w:t>
            </w:r>
          </w:p>
        </w:tc>
      </w:tr>
    </w:tbl>
    <w:p w14:paraId="6EDCFFF8" w14:textId="77777777" w:rsidR="002D3FFE" w:rsidRDefault="002D3FFE" w:rsidP="0006275C">
      <w:pPr>
        <w:jc w:val="both"/>
      </w:pPr>
    </w:p>
    <w:p w14:paraId="2F54AE6D" w14:textId="2AB63F88" w:rsidR="002D3FFE" w:rsidRDefault="002D3FFE" w:rsidP="0006275C">
      <w:pPr>
        <w:jc w:val="both"/>
      </w:pPr>
    </w:p>
    <w:p w14:paraId="5EB463A3" w14:textId="77777777" w:rsidR="002D3FFE" w:rsidRPr="00645ED9" w:rsidRDefault="002D3FFE" w:rsidP="00877E68">
      <w:pPr>
        <w:pStyle w:val="Heading1"/>
        <w:numPr>
          <w:ilvl w:val="0"/>
          <w:numId w:val="25"/>
        </w:numPr>
        <w:jc w:val="both"/>
        <w:rPr>
          <w:color w:val="5B9BD5"/>
        </w:rPr>
      </w:pPr>
      <w:bookmarkStart w:id="35" w:name="_Toc357688432"/>
      <w:bookmarkStart w:id="36" w:name="_Toc448910872"/>
      <w:bookmarkStart w:id="37" w:name="_Toc448912289"/>
      <w:bookmarkStart w:id="38" w:name="_Toc453142523"/>
      <w:bookmarkStart w:id="39" w:name="_Toc475435275"/>
      <w:bookmarkStart w:id="40" w:name="_Toc166676700"/>
      <w:bookmarkEnd w:id="32"/>
      <w:r w:rsidRPr="00645ED9">
        <w:rPr>
          <w:color w:val="5B9BD5"/>
        </w:rPr>
        <w:lastRenderedPageBreak/>
        <w:t>Risk Management Objectives and Policies</w:t>
      </w:r>
      <w:bookmarkEnd w:id="35"/>
      <w:bookmarkEnd w:id="36"/>
      <w:bookmarkEnd w:id="37"/>
      <w:bookmarkEnd w:id="38"/>
      <w:bookmarkEnd w:id="39"/>
      <w:bookmarkEnd w:id="40"/>
      <w:r w:rsidRPr="00645ED9">
        <w:rPr>
          <w:color w:val="5B9BD5"/>
        </w:rPr>
        <w:t xml:space="preserve"> </w:t>
      </w:r>
    </w:p>
    <w:p w14:paraId="495F4E77" w14:textId="77777777" w:rsidR="002D3FFE" w:rsidRPr="00645ED9" w:rsidRDefault="002D3FFE" w:rsidP="00734134">
      <w:pPr>
        <w:pStyle w:val="Heading2"/>
      </w:pPr>
      <w:bookmarkStart w:id="41" w:name="_Toc448910874"/>
      <w:bookmarkEnd w:id="41"/>
      <w:r w:rsidRPr="00645ED9">
        <w:t>Introduction</w:t>
      </w:r>
    </w:p>
    <w:p w14:paraId="6851F46F" w14:textId="77777777" w:rsidR="002D3FFE" w:rsidRPr="00CD6AD1" w:rsidRDefault="002D3FFE" w:rsidP="00F06BF5">
      <w:pPr>
        <w:spacing w:line="276" w:lineRule="auto"/>
        <w:jc w:val="both"/>
        <w:rPr>
          <w:rFonts w:cs="Museo Sans"/>
          <w:color w:val="000000"/>
        </w:rPr>
      </w:pPr>
      <w:r w:rsidRPr="00CD6AD1">
        <w:rPr>
          <w:rFonts w:cs="Museo Sans"/>
          <w:color w:val="000000"/>
        </w:rPr>
        <w:t xml:space="preserve">The Bank is committed to risk management. This is achieved through the maintenance of appropriate risk strategies, frameworks, organisational structures, and governance, plus embedding a strong risk culture embedded throughout the organisation. </w:t>
      </w:r>
    </w:p>
    <w:p w14:paraId="2B1B31EC" w14:textId="77777777" w:rsidR="002D3FFE" w:rsidRDefault="002D3FFE" w:rsidP="00F06BF5">
      <w:pPr>
        <w:spacing w:line="276" w:lineRule="auto"/>
        <w:jc w:val="both"/>
        <w:rPr>
          <w:rFonts w:cs="Museo Sans"/>
          <w:color w:val="000000"/>
        </w:rPr>
      </w:pPr>
    </w:p>
    <w:p w14:paraId="1D65D7F1" w14:textId="75E48727" w:rsidR="002D3FFE" w:rsidRPr="001636FC" w:rsidRDefault="002D3FFE" w:rsidP="00F06BF5">
      <w:pPr>
        <w:spacing w:line="276" w:lineRule="auto"/>
        <w:jc w:val="both"/>
        <w:rPr>
          <w:rFonts w:cs="Museo Sans"/>
          <w:color w:val="000000"/>
        </w:rPr>
      </w:pPr>
      <w:r w:rsidRPr="00CD6AD1">
        <w:rPr>
          <w:rFonts w:cs="Museo Sans"/>
          <w:color w:val="000000"/>
        </w:rPr>
        <w:t>The following chapter covers the key elements of the Bank’s approach to risk management</w:t>
      </w:r>
      <w:r>
        <w:rPr>
          <w:rFonts w:cs="Museo Sans"/>
          <w:color w:val="000000"/>
        </w:rPr>
        <w:t>.</w:t>
      </w:r>
      <w:r w:rsidR="001636FC">
        <w:rPr>
          <w:rFonts w:cs="Museo Sans"/>
          <w:color w:val="000000"/>
        </w:rPr>
        <w:t xml:space="preserve"> This includes how </w:t>
      </w:r>
      <w:r w:rsidRPr="00067917">
        <w:rPr>
          <w:rFonts w:cs="Museo Sans"/>
        </w:rPr>
        <w:t>deterioration and/or non-compliance with appetite be detected, including consideration of the impact on capital requirements via the ICAAP process</w:t>
      </w:r>
      <w:r w:rsidR="00082C74">
        <w:rPr>
          <w:rFonts w:cs="Museo Sans"/>
        </w:rPr>
        <w:t xml:space="preserve"> and liquidity requirements in the ILAAP</w:t>
      </w:r>
      <w:r w:rsidRPr="00067917">
        <w:rPr>
          <w:rFonts w:cs="Museo Sans"/>
        </w:rPr>
        <w:t xml:space="preserve">.  </w:t>
      </w:r>
    </w:p>
    <w:p w14:paraId="0F381A5A" w14:textId="7657AFA8" w:rsidR="00C33C41" w:rsidRDefault="00C33C41" w:rsidP="0006275C">
      <w:pPr>
        <w:spacing w:line="276" w:lineRule="auto"/>
        <w:jc w:val="both"/>
        <w:rPr>
          <w:rFonts w:ascii="Museo Sans 100" w:hAnsi="Museo Sans 100"/>
        </w:rPr>
      </w:pPr>
    </w:p>
    <w:p w14:paraId="1A7D3221" w14:textId="77777777" w:rsidR="00C33C41" w:rsidRPr="00D80BB8" w:rsidRDefault="00C33C41" w:rsidP="00C33C41">
      <w:pPr>
        <w:jc w:val="both"/>
        <w:rPr>
          <w:b/>
          <w:bCs/>
          <w:color w:val="5B9BD5"/>
        </w:rPr>
      </w:pPr>
      <w:bookmarkStart w:id="42" w:name="_Hlk128991585"/>
      <w:r w:rsidRPr="00D80BB8">
        <w:rPr>
          <w:b/>
          <w:bCs/>
          <w:color w:val="5B9BD5"/>
        </w:rPr>
        <w:t>Approach to risk, enterprise risk management framework and accountability</w:t>
      </w:r>
    </w:p>
    <w:p w14:paraId="2012F056" w14:textId="77777777" w:rsidR="002C7E97" w:rsidRDefault="002C7E97" w:rsidP="00F06BF5">
      <w:pPr>
        <w:spacing w:line="276" w:lineRule="auto"/>
        <w:jc w:val="both"/>
        <w:rPr>
          <w:rFonts w:cs="Museo Sans"/>
        </w:rPr>
      </w:pPr>
    </w:p>
    <w:p w14:paraId="4FF8D1DC" w14:textId="3F86590C" w:rsidR="00C33C41" w:rsidRPr="00E01413" w:rsidRDefault="00C33C41" w:rsidP="00F06BF5">
      <w:pPr>
        <w:spacing w:line="276" w:lineRule="auto"/>
        <w:jc w:val="both"/>
        <w:rPr>
          <w:rFonts w:cs="Museo Sans"/>
        </w:rPr>
      </w:pPr>
      <w:r w:rsidRPr="00E01413">
        <w:rPr>
          <w:rFonts w:cs="Museo Sans"/>
        </w:rPr>
        <w:t xml:space="preserve">The Enterprise Risk Management Framework clearly articulates the Bank’s approach to risk management, the risks the Bank is willing to take, and the inherent risks, in pursuit of its strategy.  </w:t>
      </w:r>
    </w:p>
    <w:p w14:paraId="68E9F60D" w14:textId="77777777" w:rsidR="00E01413" w:rsidRDefault="00E01413" w:rsidP="00F06BF5">
      <w:pPr>
        <w:spacing w:line="276" w:lineRule="auto"/>
        <w:jc w:val="both"/>
        <w:rPr>
          <w:rFonts w:cs="Museo Sans"/>
        </w:rPr>
      </w:pPr>
    </w:p>
    <w:p w14:paraId="1797D5C4" w14:textId="72FE1767" w:rsidR="00C33C41" w:rsidRPr="00E01413" w:rsidRDefault="00C33C41" w:rsidP="00F06BF5">
      <w:pPr>
        <w:spacing w:line="276" w:lineRule="auto"/>
        <w:jc w:val="both"/>
        <w:rPr>
          <w:rFonts w:cs="Museo Sans"/>
        </w:rPr>
      </w:pPr>
      <w:r w:rsidRPr="00E01413">
        <w:rPr>
          <w:rFonts w:cs="Museo Sans"/>
        </w:rPr>
        <w:t xml:space="preserve">The framework ensures that from the top down there is effective identification, assessment, control, management, reporting and escalation of risk, to operate within the appetite set by the Board resulting in a transparent and strong risk culture. The key principles, tools, documentation, governance structure, </w:t>
      </w:r>
      <w:r w:rsidR="001E4E1F" w:rsidRPr="00E01413">
        <w:rPr>
          <w:rFonts w:cs="Museo Sans"/>
        </w:rPr>
        <w:t>roles,</w:t>
      </w:r>
      <w:r w:rsidRPr="00E01413">
        <w:rPr>
          <w:rFonts w:cs="Museo Sans"/>
        </w:rPr>
        <w:t xml:space="preserve"> and responsibilities for risk management, across all risk categories, are confirmed in the framework along with the methodologies used to measure and monitor the ‘Risk Management Cycle’.  In addition, the internal and external oversight, assurance, and approvals provided by Executive, Board, </w:t>
      </w:r>
      <w:r w:rsidR="00E01413">
        <w:rPr>
          <w:rFonts w:cs="Museo Sans"/>
        </w:rPr>
        <w:t xml:space="preserve">Second </w:t>
      </w:r>
      <w:r w:rsidR="005829E5" w:rsidRPr="00E01413">
        <w:rPr>
          <w:rFonts w:cs="Museo Sans"/>
        </w:rPr>
        <w:t>Line and</w:t>
      </w:r>
      <w:r w:rsidRPr="00E01413">
        <w:rPr>
          <w:rFonts w:cs="Museo Sans"/>
        </w:rPr>
        <w:t xml:space="preserve"> </w:t>
      </w:r>
      <w:r w:rsidR="00E01413">
        <w:rPr>
          <w:rFonts w:cs="Museo Sans"/>
        </w:rPr>
        <w:t xml:space="preserve">Third </w:t>
      </w:r>
      <w:r w:rsidRPr="00E01413">
        <w:rPr>
          <w:rFonts w:cs="Museo Sans"/>
        </w:rPr>
        <w:t xml:space="preserve">Line </w:t>
      </w:r>
      <w:r w:rsidR="00E01413">
        <w:rPr>
          <w:rFonts w:cs="Museo Sans"/>
        </w:rPr>
        <w:t xml:space="preserve">control </w:t>
      </w:r>
      <w:r w:rsidR="005829E5">
        <w:rPr>
          <w:rFonts w:cs="Museo Sans"/>
        </w:rPr>
        <w:t xml:space="preserve">functions </w:t>
      </w:r>
      <w:r w:rsidR="005829E5" w:rsidRPr="00E01413">
        <w:rPr>
          <w:rFonts w:cs="Museo Sans"/>
        </w:rPr>
        <w:t>is</w:t>
      </w:r>
      <w:r w:rsidRPr="00E01413">
        <w:rPr>
          <w:rFonts w:cs="Museo Sans"/>
        </w:rPr>
        <w:t xml:space="preserve"> confirmed. </w:t>
      </w:r>
    </w:p>
    <w:p w14:paraId="4C9B7C24" w14:textId="77777777" w:rsidR="00E01413" w:rsidRDefault="00E01413" w:rsidP="00F06BF5">
      <w:pPr>
        <w:spacing w:line="276" w:lineRule="auto"/>
        <w:jc w:val="both"/>
        <w:rPr>
          <w:rFonts w:cs="Museo Sans"/>
        </w:rPr>
      </w:pPr>
    </w:p>
    <w:p w14:paraId="36F088CF" w14:textId="7E2FB3E7" w:rsidR="00C33C41" w:rsidRPr="00E01413" w:rsidRDefault="00C33C41" w:rsidP="00F06BF5">
      <w:pPr>
        <w:spacing w:line="276" w:lineRule="auto"/>
        <w:jc w:val="both"/>
        <w:rPr>
          <w:rFonts w:cs="Museo Sans"/>
        </w:rPr>
      </w:pPr>
      <w:r w:rsidRPr="00E01413">
        <w:rPr>
          <w:rFonts w:cs="Museo Sans"/>
        </w:rPr>
        <w:t xml:space="preserve">A Risk and Control Self-Assessment programme and Top and Emerging risk reporting </w:t>
      </w:r>
      <w:r w:rsidR="00885399">
        <w:rPr>
          <w:rFonts w:cs="Museo Sans"/>
        </w:rPr>
        <w:t xml:space="preserve">processes </w:t>
      </w:r>
      <w:r w:rsidRPr="00E01413">
        <w:rPr>
          <w:rFonts w:cs="Museo Sans"/>
        </w:rPr>
        <w:t>exist which supports monitoring and management of the Bank’s risk profile.</w:t>
      </w:r>
    </w:p>
    <w:p w14:paraId="0FC325E2" w14:textId="77777777" w:rsidR="00E01413" w:rsidRDefault="00E01413" w:rsidP="00F06BF5">
      <w:pPr>
        <w:spacing w:line="276" w:lineRule="auto"/>
        <w:jc w:val="both"/>
        <w:rPr>
          <w:rFonts w:cs="Museo Sans"/>
        </w:rPr>
      </w:pPr>
    </w:p>
    <w:p w14:paraId="44BD476A" w14:textId="40A4DD1B" w:rsidR="00C33C41" w:rsidRPr="00F07597" w:rsidRDefault="00C33C41" w:rsidP="00F06BF5">
      <w:pPr>
        <w:spacing w:line="276" w:lineRule="auto"/>
        <w:jc w:val="both"/>
        <w:rPr>
          <w:rFonts w:cs="Museo Sans"/>
        </w:rPr>
      </w:pPr>
      <w:r w:rsidRPr="00E01413">
        <w:rPr>
          <w:rFonts w:cs="Museo Sans"/>
        </w:rPr>
        <w:t>A forward-looking risk management approach is taken using quarterly stress testing and scenario analysis, feeding into the annual Internal Capital and Liquidity Adequacy Assessment processes (ICAAP and ILAAP) to ensure there is sufficient capital and liquidity to cover the risks to the Bank.</w:t>
      </w:r>
    </w:p>
    <w:bookmarkEnd w:id="42"/>
    <w:p w14:paraId="1FC10FC5" w14:textId="77777777" w:rsidR="00C33C41" w:rsidRDefault="00C33C41" w:rsidP="00C33C41">
      <w:pPr>
        <w:jc w:val="both"/>
        <w:rPr>
          <w:b/>
          <w:bCs/>
          <w:color w:val="5B9BD5"/>
        </w:rPr>
      </w:pPr>
    </w:p>
    <w:p w14:paraId="2C697BA9" w14:textId="22EA43EC" w:rsidR="00C33C41" w:rsidRDefault="00C33C41" w:rsidP="00C33C41">
      <w:pPr>
        <w:jc w:val="both"/>
        <w:rPr>
          <w:b/>
          <w:bCs/>
          <w:color w:val="5B9BD5"/>
        </w:rPr>
      </w:pPr>
      <w:r w:rsidRPr="00D80BB8">
        <w:rPr>
          <w:b/>
          <w:bCs/>
          <w:color w:val="5B9BD5"/>
        </w:rPr>
        <w:t>Governance of Risk Management</w:t>
      </w:r>
    </w:p>
    <w:p w14:paraId="103C79AC" w14:textId="77777777" w:rsidR="00EE6FE7" w:rsidRPr="00D80BB8" w:rsidRDefault="00EE6FE7" w:rsidP="00C33C41">
      <w:pPr>
        <w:jc w:val="both"/>
        <w:rPr>
          <w:b/>
          <w:bCs/>
          <w:color w:val="5B9BD5"/>
        </w:rPr>
      </w:pPr>
    </w:p>
    <w:p w14:paraId="65B9C72D" w14:textId="1D1CA196" w:rsidR="00C33C41" w:rsidRPr="00F06BF5" w:rsidRDefault="00C33C41" w:rsidP="00F06BF5">
      <w:pPr>
        <w:spacing w:line="276" w:lineRule="auto"/>
        <w:jc w:val="both"/>
        <w:rPr>
          <w:rFonts w:cs="Museo Sans"/>
        </w:rPr>
      </w:pPr>
      <w:r w:rsidRPr="00F06BF5">
        <w:rPr>
          <w:rFonts w:cs="Museo Sans"/>
        </w:rPr>
        <w:t xml:space="preserve">The Chief Risk Officer has operational responsibility for the management of the bank’s Enterprise-wide Risk Management Framework. The Board has responsibility for the setting of the firm’s Risk Appetite and approval of this framework, as well as ongoing oversight, principally through the Board Risk and Compliance Committee. The </w:t>
      </w:r>
      <w:r w:rsidR="00A54DDB">
        <w:rPr>
          <w:rFonts w:cs="Museo Sans"/>
        </w:rPr>
        <w:t>B</w:t>
      </w:r>
      <w:r w:rsidRPr="00F06BF5">
        <w:rPr>
          <w:rFonts w:cs="Museo Sans"/>
        </w:rPr>
        <w:t>ank’s corporate governance framework and committee structure is outlined in the corporate governance section.</w:t>
      </w:r>
    </w:p>
    <w:p w14:paraId="7BE192BE" w14:textId="77777777" w:rsidR="002D3FFE" w:rsidRPr="00645ED9" w:rsidRDefault="002D3FFE" w:rsidP="00734134">
      <w:pPr>
        <w:pStyle w:val="Heading2"/>
      </w:pPr>
      <w:bookmarkStart w:id="43" w:name="_Toc1752292"/>
      <w:bookmarkStart w:id="44" w:name="_Toc1752293"/>
      <w:bookmarkStart w:id="45" w:name="_Toc469060240"/>
      <w:bookmarkStart w:id="46" w:name="_Hlk97022382"/>
      <w:bookmarkEnd w:id="43"/>
      <w:bookmarkEnd w:id="44"/>
      <w:r w:rsidRPr="00645ED9">
        <w:t>Three lines of defence model</w:t>
      </w:r>
    </w:p>
    <w:p w14:paraId="17C786D3" w14:textId="4A55FA6F" w:rsidR="002D3FFE" w:rsidRDefault="002D3FFE" w:rsidP="00F06BF5">
      <w:pPr>
        <w:spacing w:line="276" w:lineRule="auto"/>
        <w:jc w:val="both"/>
        <w:rPr>
          <w:rFonts w:cstheme="minorHAnsi"/>
        </w:rPr>
      </w:pPr>
      <w:r w:rsidRPr="00B67F1F">
        <w:rPr>
          <w:rFonts w:cstheme="minorHAnsi"/>
        </w:rPr>
        <w:t>The Bank manages risk using the ‘</w:t>
      </w:r>
      <w:r w:rsidRPr="00B67F1F">
        <w:rPr>
          <w:rFonts w:cstheme="minorHAnsi"/>
          <w:i/>
          <w:iCs/>
        </w:rPr>
        <w:t>three lines of defence’</w:t>
      </w:r>
      <w:r w:rsidRPr="00B67F1F">
        <w:rPr>
          <w:rFonts w:cstheme="minorHAnsi"/>
        </w:rPr>
        <w:t xml:space="preserve"> model, via clear responsibilities established for all colleagues in relation to risk management, including </w:t>
      </w:r>
      <w:r w:rsidR="00885399">
        <w:rPr>
          <w:rFonts w:cstheme="minorHAnsi"/>
        </w:rPr>
        <w:t>E</w:t>
      </w:r>
      <w:r w:rsidRPr="00B67F1F">
        <w:rPr>
          <w:rFonts w:cstheme="minorHAnsi"/>
        </w:rPr>
        <w:t xml:space="preserve">xecutive and </w:t>
      </w:r>
      <w:r w:rsidR="00885399">
        <w:rPr>
          <w:rFonts w:cstheme="minorHAnsi"/>
        </w:rPr>
        <w:t>N</w:t>
      </w:r>
      <w:r w:rsidRPr="00B67F1F">
        <w:rPr>
          <w:rFonts w:cstheme="minorHAnsi"/>
        </w:rPr>
        <w:t>on-</w:t>
      </w:r>
      <w:r w:rsidR="00885399">
        <w:rPr>
          <w:rFonts w:cstheme="minorHAnsi"/>
        </w:rPr>
        <w:t>E</w:t>
      </w:r>
      <w:r w:rsidRPr="00B67F1F">
        <w:rPr>
          <w:rFonts w:cstheme="minorHAnsi"/>
        </w:rPr>
        <w:t>xecutive responsibilities documented as applicable under the Senior Managers and Certification Regime.  The model operates as follows:</w:t>
      </w:r>
    </w:p>
    <w:p w14:paraId="001E97BD" w14:textId="119AD7F4" w:rsidR="005220F2" w:rsidRPr="002C7E97" w:rsidRDefault="00B80502" w:rsidP="002C7E97">
      <w:pPr>
        <w:jc w:val="both"/>
        <w:rPr>
          <w:rFonts w:cstheme="minorHAnsi"/>
          <w:color w:val="5B9BD5"/>
        </w:rPr>
      </w:pPr>
      <w:r>
        <w:rPr>
          <w:rFonts w:cstheme="minorHAnsi"/>
          <w:noProof/>
        </w:rPr>
        <w:lastRenderedPageBreak/>
        <mc:AlternateContent>
          <mc:Choice Requires="wps">
            <w:drawing>
              <wp:anchor distT="0" distB="0" distL="114300" distR="114300" simplePos="0" relativeHeight="251667456" behindDoc="0" locked="0" layoutInCell="1" allowOverlap="1" wp14:anchorId="428D4D1C" wp14:editId="0CACB1B0">
                <wp:simplePos x="0" y="0"/>
                <wp:positionH relativeFrom="column">
                  <wp:posOffset>-19050</wp:posOffset>
                </wp:positionH>
                <wp:positionV relativeFrom="paragraph">
                  <wp:posOffset>-31750</wp:posOffset>
                </wp:positionV>
                <wp:extent cx="5670550" cy="45402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5670550" cy="454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BBB73" id="Rectangle 2" o:spid="_x0000_s1026" style="position:absolute;margin-left:-1.5pt;margin-top:-2.5pt;width:446.5pt;height:3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" filled="f" strokecolor="black [3213]" strokeweight="1pt"/>
            </w:pict>
          </mc:Fallback>
        </mc:AlternateContent>
      </w:r>
      <w:r w:rsidR="000D35C6" w:rsidRPr="005220F2">
        <w:rPr>
          <w:rFonts w:cstheme="minorHAnsi"/>
          <w:noProof/>
        </w:rPr>
        <w:drawing>
          <wp:inline distT="0" distB="0" distL="0" distR="0" wp14:anchorId="1E0BEA0D" wp14:editId="54C31983">
            <wp:extent cx="5487670" cy="4329016"/>
            <wp:effectExtent l="38100" t="0" r="74930" b="10985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236773">
        <w:rPr>
          <w:rFonts w:cstheme="minorHAnsi"/>
          <w:color w:val="5B9BD5"/>
        </w:rPr>
        <w:t xml:space="preserve"> </w:t>
      </w:r>
      <w:r w:rsidR="00514DC6">
        <w:rPr>
          <w:rFonts w:cstheme="minorHAnsi"/>
          <w:color w:val="5B9BD5"/>
        </w:rPr>
        <w:tab/>
      </w:r>
    </w:p>
    <w:p w14:paraId="30ED10F8" w14:textId="597005E5" w:rsidR="002D3FFE" w:rsidRPr="00645ED9" w:rsidRDefault="002D3FFE" w:rsidP="00734134">
      <w:pPr>
        <w:pStyle w:val="Heading2"/>
      </w:pPr>
      <w:r w:rsidRPr="00645ED9">
        <w:t>Risk Appetite Introduction</w:t>
      </w:r>
      <w:bookmarkEnd w:id="45"/>
    </w:p>
    <w:bookmarkEnd w:id="46"/>
    <w:p w14:paraId="11B0D19D" w14:textId="624C49D2" w:rsidR="002D3FFE" w:rsidRDefault="002D3FFE" w:rsidP="00F06BF5">
      <w:pPr>
        <w:spacing w:line="276" w:lineRule="auto"/>
        <w:jc w:val="both"/>
        <w:rPr>
          <w:rFonts w:cstheme="minorHAnsi"/>
        </w:rPr>
      </w:pPr>
      <w:r w:rsidRPr="00B67F1F">
        <w:rPr>
          <w:rFonts w:cstheme="minorHAnsi"/>
        </w:rPr>
        <w:t>The Risk Appetite</w:t>
      </w:r>
      <w:r w:rsidR="00E01413">
        <w:rPr>
          <w:rFonts w:cstheme="minorHAnsi"/>
        </w:rPr>
        <w:t xml:space="preserve"> </w:t>
      </w:r>
      <w:r w:rsidR="005810DD">
        <w:rPr>
          <w:rFonts w:cstheme="minorHAnsi"/>
        </w:rPr>
        <w:t>articulates</w:t>
      </w:r>
      <w:r w:rsidR="005810DD" w:rsidRPr="00B67F1F">
        <w:rPr>
          <w:rFonts w:cstheme="minorHAnsi"/>
        </w:rPr>
        <w:t xml:space="preserve"> the</w:t>
      </w:r>
      <w:r w:rsidRPr="00B67F1F">
        <w:rPr>
          <w:rFonts w:cstheme="minorHAnsi"/>
        </w:rPr>
        <w:t xml:space="preserve"> amount and type of risks the Board is willing to take in pursuit of its strategy and objectives.  The overall objective is to protect the Bank from unacceptable levels of risk while supporting and enabling overall business strategy (including the assessment of new business opportunities).  The Bank’s Risk Appetite Statement outlines a mixture of qualitative and quantitative measures (</w:t>
      </w:r>
      <w:r w:rsidR="00885399">
        <w:rPr>
          <w:rFonts w:cstheme="minorHAnsi"/>
        </w:rPr>
        <w:t xml:space="preserve">Principal Risk </w:t>
      </w:r>
      <w:r w:rsidRPr="00B67F1F">
        <w:rPr>
          <w:rFonts w:cstheme="minorHAnsi"/>
        </w:rPr>
        <w:t xml:space="preserve">Statements and Key Risk Indicators).  The regular review of the Bank’s appetite for risk is facilitated and challenged by the </w:t>
      </w:r>
      <w:r w:rsidR="00432F0F">
        <w:rPr>
          <w:rFonts w:cstheme="minorHAnsi"/>
        </w:rPr>
        <w:t>S</w:t>
      </w:r>
      <w:r>
        <w:rPr>
          <w:rFonts w:cstheme="minorHAnsi"/>
        </w:rPr>
        <w:t xml:space="preserve">econd </w:t>
      </w:r>
      <w:r w:rsidR="00432F0F">
        <w:rPr>
          <w:rFonts w:cstheme="minorHAnsi"/>
        </w:rPr>
        <w:t>l</w:t>
      </w:r>
      <w:r>
        <w:rPr>
          <w:rFonts w:cstheme="minorHAnsi"/>
        </w:rPr>
        <w:t xml:space="preserve">ine of </w:t>
      </w:r>
      <w:r w:rsidR="00885399">
        <w:rPr>
          <w:rFonts w:cstheme="minorHAnsi"/>
        </w:rPr>
        <w:t>D</w:t>
      </w:r>
      <w:r>
        <w:rPr>
          <w:rFonts w:cstheme="minorHAnsi"/>
        </w:rPr>
        <w:t>efence</w:t>
      </w:r>
      <w:r w:rsidRPr="00B67F1F">
        <w:rPr>
          <w:rFonts w:cstheme="minorHAnsi"/>
        </w:rPr>
        <w:t xml:space="preserve">, driven by the recommendations of the appropriate executives and subject matter experts.  </w:t>
      </w:r>
    </w:p>
    <w:p w14:paraId="0C27CED8" w14:textId="77777777" w:rsidR="00975EF8" w:rsidRPr="005A4E5C" w:rsidRDefault="00975EF8" w:rsidP="00F06BF5">
      <w:pPr>
        <w:spacing w:line="276" w:lineRule="auto"/>
        <w:jc w:val="both"/>
        <w:rPr>
          <w:rFonts w:cstheme="minorHAnsi"/>
        </w:rPr>
      </w:pPr>
    </w:p>
    <w:p w14:paraId="11548D79" w14:textId="52D990CA" w:rsidR="00F3361A" w:rsidRPr="004A6A94" w:rsidRDefault="002D3FFE" w:rsidP="00F06BF5">
      <w:pPr>
        <w:spacing w:line="276" w:lineRule="auto"/>
        <w:jc w:val="both"/>
      </w:pPr>
      <w:r w:rsidRPr="005A4E5C">
        <w:rPr>
          <w:rFonts w:cstheme="minorHAnsi"/>
        </w:rPr>
        <w:t>The Bank’s performance against Risk Appetite is monitored via reporting to the executive risk committees.  This is summarised within the Chief Risk Officer Risk Management Report, which is presented to Risk Management Committee and appropriate Board committees monthly.  The periodic reporting shows status against each Key Risk Indicator (KRI) and overall rating, based on parameters set within the Enterprise Risk Management Framework, using a Red/Amber/Yellow/Green</w:t>
      </w:r>
      <w:r w:rsidR="00D65F24">
        <w:rPr>
          <w:rFonts w:cstheme="minorHAnsi"/>
        </w:rPr>
        <w:t xml:space="preserve"> (RAYG)</w:t>
      </w:r>
      <w:r w:rsidRPr="005A4E5C">
        <w:rPr>
          <w:rFonts w:cstheme="minorHAnsi"/>
        </w:rPr>
        <w:t xml:space="preserve"> scale and the expert judgement of the </w:t>
      </w:r>
      <w:r w:rsidR="00432F0F">
        <w:rPr>
          <w:rFonts w:cstheme="minorHAnsi"/>
        </w:rPr>
        <w:t>F</w:t>
      </w:r>
      <w:r w:rsidRPr="005A4E5C">
        <w:rPr>
          <w:rFonts w:cstheme="minorHAnsi"/>
        </w:rPr>
        <w:t xml:space="preserve">irst and </w:t>
      </w:r>
      <w:r w:rsidR="00C338F1">
        <w:rPr>
          <w:rFonts w:cstheme="minorHAnsi"/>
        </w:rPr>
        <w:t>S</w:t>
      </w:r>
      <w:r w:rsidRPr="005A4E5C">
        <w:rPr>
          <w:rFonts w:cstheme="minorHAnsi"/>
        </w:rPr>
        <w:t>econd lines.  These KRI’s detail the Bank’s Risk Appetite and are reviewed at least annually or in the event of a major change to strategy and/or environment within which the Bank operates</w:t>
      </w:r>
      <w:r w:rsidR="00A23827">
        <w:rPr>
          <w:rFonts w:cstheme="minorHAnsi"/>
        </w:rPr>
        <w:t>.</w:t>
      </w:r>
      <w:r w:rsidR="00F53619">
        <w:rPr>
          <w:rFonts w:cstheme="minorHAnsi"/>
        </w:rPr>
        <w:t xml:space="preserve"> </w:t>
      </w:r>
      <w:r w:rsidR="00F53619" w:rsidRPr="004A6A94">
        <w:t>The Bank has adopted a tiered structure of risk indicators and metrics</w:t>
      </w:r>
      <w:r w:rsidR="00F53619">
        <w:t>.</w:t>
      </w:r>
    </w:p>
    <w:p w14:paraId="67064DBF" w14:textId="77777777" w:rsidR="002D3FFE" w:rsidRPr="00645ED9" w:rsidRDefault="002D3FFE" w:rsidP="0006275C">
      <w:pPr>
        <w:spacing w:line="276" w:lineRule="auto"/>
        <w:jc w:val="both"/>
        <w:rPr>
          <w:color w:val="5B9BD5"/>
        </w:rPr>
      </w:pPr>
    </w:p>
    <w:p w14:paraId="6D5A3102" w14:textId="7E550B37" w:rsidR="00502C98" w:rsidRPr="00867D5F" w:rsidRDefault="00082C74" w:rsidP="00867D5F">
      <w:pPr>
        <w:spacing w:after="240" w:line="276" w:lineRule="auto"/>
        <w:ind w:left="360"/>
        <w:jc w:val="both"/>
        <w:rPr>
          <w:color w:val="5B9BD5"/>
        </w:rPr>
      </w:pPr>
      <w:r>
        <w:rPr>
          <w:color w:val="5B9BD5"/>
        </w:rPr>
        <w:t>Level</w:t>
      </w:r>
      <w:r w:rsidR="002D3FFE" w:rsidRPr="00502C98">
        <w:rPr>
          <w:color w:val="5B9BD5"/>
        </w:rPr>
        <w:t xml:space="preserve"> </w:t>
      </w:r>
      <w:r w:rsidR="00867D5F">
        <w:rPr>
          <w:color w:val="5B9BD5"/>
        </w:rPr>
        <w:t xml:space="preserve">1: </w:t>
      </w:r>
      <w:r w:rsidR="002D3FFE" w:rsidRPr="00867D5F">
        <w:rPr>
          <w:rFonts w:cstheme="minorHAnsi"/>
        </w:rPr>
        <w:t xml:space="preserve">They are considered as being the </w:t>
      </w:r>
      <w:r w:rsidR="00BE757A" w:rsidRPr="00867D5F">
        <w:rPr>
          <w:rFonts w:cstheme="minorHAnsi"/>
        </w:rPr>
        <w:t xml:space="preserve">most fundamental measures of risk exposure.  These are to be reported to the Board risk committee and its risk sub-committees </w:t>
      </w:r>
      <w:proofErr w:type="gramStart"/>
      <w:r w:rsidR="00BE757A" w:rsidRPr="00867D5F">
        <w:rPr>
          <w:rFonts w:cstheme="minorHAnsi"/>
        </w:rPr>
        <w:t>on a monthly basis</w:t>
      </w:r>
      <w:proofErr w:type="gramEnd"/>
      <w:r w:rsidR="00BE757A" w:rsidRPr="00867D5F">
        <w:rPr>
          <w:rFonts w:cstheme="minorHAnsi"/>
        </w:rPr>
        <w:t xml:space="preserve"> regardless of status</w:t>
      </w:r>
    </w:p>
    <w:p w14:paraId="6A6D549A" w14:textId="77777777" w:rsidR="00867D5F" w:rsidRDefault="00082C74" w:rsidP="00867D5F">
      <w:pPr>
        <w:spacing w:after="240" w:line="276" w:lineRule="auto"/>
        <w:ind w:left="360"/>
        <w:jc w:val="both"/>
        <w:rPr>
          <w:color w:val="5B9BD5"/>
        </w:rPr>
      </w:pPr>
      <w:r>
        <w:rPr>
          <w:color w:val="5B9BD5"/>
        </w:rPr>
        <w:lastRenderedPageBreak/>
        <w:t>Level</w:t>
      </w:r>
      <w:r w:rsidR="002D3FFE" w:rsidRPr="00502C98">
        <w:rPr>
          <w:color w:val="5B9BD5"/>
        </w:rPr>
        <w:t xml:space="preserve"> </w:t>
      </w:r>
      <w:r w:rsidR="00867D5F">
        <w:rPr>
          <w:color w:val="5B9BD5"/>
        </w:rPr>
        <w:t xml:space="preserve">2: </w:t>
      </w:r>
      <w:r w:rsidR="00867D5F" w:rsidRPr="00867D5F">
        <w:t>A</w:t>
      </w:r>
      <w:r w:rsidR="00BE757A" w:rsidRPr="00867D5F">
        <w:t xml:space="preserve">dditional measures of risk exposure.  These are to be reported to the relevant sub-committees </w:t>
      </w:r>
      <w:proofErr w:type="gramStart"/>
      <w:r w:rsidR="00BE757A" w:rsidRPr="00867D5F">
        <w:t>on a monthly basis</w:t>
      </w:r>
      <w:proofErr w:type="gramEnd"/>
      <w:r w:rsidR="00BE757A" w:rsidRPr="00867D5F">
        <w:t>, and to Board Risk &amp; Compliance Committee as/when they are reporting Amber or Red.</w:t>
      </w:r>
    </w:p>
    <w:p w14:paraId="5BC2D841" w14:textId="4376353F" w:rsidR="00D65F24" w:rsidRPr="00867D5F" w:rsidRDefault="00BE757A" w:rsidP="00867D5F">
      <w:pPr>
        <w:spacing w:after="240" w:line="276" w:lineRule="auto"/>
        <w:jc w:val="both"/>
        <w:rPr>
          <w:color w:val="5B9BD5"/>
        </w:rPr>
      </w:pPr>
      <w:r>
        <w:t>The risk profile is detailed in the below section.</w:t>
      </w:r>
      <w:bookmarkStart w:id="47" w:name="_Hlk530215662"/>
    </w:p>
    <w:p w14:paraId="1476A6B7" w14:textId="77777777" w:rsidR="002D3FFE" w:rsidRPr="00645ED9" w:rsidRDefault="002D3FFE" w:rsidP="0006275C">
      <w:pPr>
        <w:spacing w:after="240" w:line="276" w:lineRule="auto"/>
        <w:jc w:val="both"/>
        <w:rPr>
          <w:color w:val="5B9BD5"/>
        </w:rPr>
      </w:pPr>
      <w:r w:rsidRPr="00645ED9">
        <w:rPr>
          <w:color w:val="5B9BD5"/>
        </w:rPr>
        <w:t xml:space="preserve">Early Warning Indicators </w:t>
      </w:r>
      <w:bookmarkEnd w:id="47"/>
      <w:r w:rsidRPr="00645ED9">
        <w:rPr>
          <w:color w:val="5B9BD5"/>
        </w:rPr>
        <w:t>(EWIs)</w:t>
      </w:r>
    </w:p>
    <w:p w14:paraId="26E666D7" w14:textId="5C813C6B" w:rsidR="002D3FFE" w:rsidRDefault="002D3FFE" w:rsidP="00C73104">
      <w:pPr>
        <w:spacing w:line="276" w:lineRule="auto"/>
        <w:jc w:val="both"/>
      </w:pPr>
      <w:r w:rsidRPr="004A6A94">
        <w:t xml:space="preserve">Early Warning Indicators are measures that could be an indicator of potential future problems e.g. national or regional house prices. Internal EWIs are those that can be influenced directly or indirectly by the actions of the Executive and </w:t>
      </w:r>
      <w:r w:rsidR="006C75A4">
        <w:t>m</w:t>
      </w:r>
      <w:r w:rsidRPr="004A6A94">
        <w:t xml:space="preserve">anagement. External EWIs are those indicators which reflect the prevailing economic and political climate. Although these external indicators are outside of the control of the Bank (e.g. UK Bank Base Rate) their prevailing level is the basis of assumptions within the Bank’s plans. The Board and the Executive are vigilant to unexpected movements or trends. </w:t>
      </w:r>
    </w:p>
    <w:p w14:paraId="54CAECE8" w14:textId="07EF5075" w:rsidR="00B515E6" w:rsidRDefault="00B515E6" w:rsidP="00C73104">
      <w:pPr>
        <w:spacing w:line="276" w:lineRule="auto"/>
        <w:jc w:val="both"/>
      </w:pPr>
    </w:p>
    <w:p w14:paraId="43DECB87" w14:textId="77777777" w:rsidR="0094234F" w:rsidRDefault="00B515E6" w:rsidP="00C73104">
      <w:pPr>
        <w:spacing w:line="276" w:lineRule="auto"/>
        <w:jc w:val="both"/>
      </w:pPr>
      <w:r w:rsidRPr="004A6A94">
        <w:t>Risk Indicators and Metrics are monitored daily or monthly (as appropriate) by the Risk &amp; Compliance Function. When the absolute value or trend predicts a potential issue, the necessary and appropriate actions are taken.</w:t>
      </w:r>
      <w:bookmarkStart w:id="48" w:name="_Toc2075475"/>
      <w:bookmarkStart w:id="49" w:name="_Hlk97022442"/>
    </w:p>
    <w:p w14:paraId="1B75A593" w14:textId="77777777" w:rsidR="0094234F" w:rsidRPr="002C7E97" w:rsidRDefault="0094234F" w:rsidP="0094234F">
      <w:pPr>
        <w:spacing w:line="276" w:lineRule="auto"/>
        <w:jc w:val="both"/>
        <w:rPr>
          <w:b/>
          <w:bCs/>
        </w:rPr>
      </w:pPr>
    </w:p>
    <w:p w14:paraId="23B0D6B8" w14:textId="0F139B2B" w:rsidR="002D3FFE" w:rsidRPr="002C7E97" w:rsidRDefault="002D3FFE" w:rsidP="0094234F">
      <w:pPr>
        <w:spacing w:after="240" w:line="276" w:lineRule="auto"/>
        <w:jc w:val="both"/>
        <w:rPr>
          <w:b/>
          <w:bCs/>
          <w:color w:val="5B9BD5"/>
        </w:rPr>
      </w:pPr>
      <w:r w:rsidRPr="002C7E97">
        <w:rPr>
          <w:b/>
          <w:bCs/>
          <w:color w:val="5B9BD5"/>
        </w:rPr>
        <w:t>Risk Reporting</w:t>
      </w:r>
      <w:bookmarkEnd w:id="48"/>
    </w:p>
    <w:bookmarkEnd w:id="49"/>
    <w:p w14:paraId="522A146E" w14:textId="77777777" w:rsidR="002D3FFE" w:rsidRPr="00DD4A91" w:rsidRDefault="002D3FFE" w:rsidP="0006275C">
      <w:pPr>
        <w:spacing w:line="276" w:lineRule="auto"/>
        <w:jc w:val="both"/>
        <w:rPr>
          <w:rFonts w:eastAsiaTheme="minorHAnsi"/>
        </w:rPr>
      </w:pPr>
      <w:r w:rsidRPr="00DD4A91">
        <w:t>Regular Management Information packs are presented to the Risk &amp; Compliance Committee and recommended to the Board ensuring that the management of risk is aligned to the Board’s risk appetites and that unacceptable risk exposures are identified and, where possible, mitigated at an early stage. The metrics provided are intended to facilitate:</w:t>
      </w:r>
    </w:p>
    <w:p w14:paraId="335E93A8" w14:textId="77777777" w:rsidR="002D3FFE" w:rsidRPr="00DD4A91" w:rsidRDefault="002D3FFE" w:rsidP="0006275C">
      <w:pPr>
        <w:pStyle w:val="ListParagraphNumbers"/>
        <w:keepLines/>
        <w:numPr>
          <w:ilvl w:val="0"/>
          <w:numId w:val="15"/>
        </w:numPr>
        <w:spacing w:after="0" w:line="276" w:lineRule="auto"/>
        <w:ind w:left="1078" w:hanging="539"/>
      </w:pPr>
      <w:r w:rsidRPr="00DD4A91">
        <w:t>Backward-looking analysis to identify trends in risks and underlying drivers;</w:t>
      </w:r>
    </w:p>
    <w:p w14:paraId="4E5369C0" w14:textId="77777777" w:rsidR="002D3FFE" w:rsidRPr="00DD4A91" w:rsidRDefault="002D3FFE" w:rsidP="0006275C">
      <w:pPr>
        <w:pStyle w:val="ListParagraphNumbers"/>
        <w:keepLines/>
        <w:numPr>
          <w:ilvl w:val="0"/>
          <w:numId w:val="15"/>
        </w:numPr>
        <w:spacing w:after="0" w:line="276" w:lineRule="auto"/>
        <w:ind w:left="1078" w:hanging="539"/>
      </w:pPr>
      <w:r w:rsidRPr="00DD4A91">
        <w:t>Analysis of current Risk Indicators supported by risk reviews and risk event reporting;</w:t>
      </w:r>
    </w:p>
    <w:p w14:paraId="710CBCCB" w14:textId="77777777" w:rsidR="002D3FFE" w:rsidRPr="00DD4A91" w:rsidRDefault="002D3FFE" w:rsidP="0006275C">
      <w:pPr>
        <w:pStyle w:val="ListParagraphNumbers"/>
        <w:keepLines/>
        <w:numPr>
          <w:ilvl w:val="0"/>
          <w:numId w:val="15"/>
        </w:numPr>
        <w:spacing w:after="0" w:line="276" w:lineRule="auto"/>
        <w:ind w:left="1078" w:hanging="539"/>
      </w:pPr>
      <w:r w:rsidRPr="00DD4A91">
        <w:t>Forward-looking metrics that provide an early indication of potential threats to the Bank’s performance against Risk Appetite;</w:t>
      </w:r>
    </w:p>
    <w:p w14:paraId="10B3B3FB" w14:textId="0D650A5A" w:rsidR="002D3FFE" w:rsidRPr="00DD4A91" w:rsidRDefault="002D3FFE" w:rsidP="0006275C">
      <w:pPr>
        <w:pStyle w:val="ListParagraphNumbers"/>
        <w:keepLines/>
        <w:numPr>
          <w:ilvl w:val="0"/>
          <w:numId w:val="15"/>
        </w:numPr>
        <w:spacing w:after="0" w:line="276" w:lineRule="auto"/>
        <w:ind w:left="1078" w:hanging="539"/>
      </w:pPr>
      <w:r w:rsidRPr="00DD4A91">
        <w:t>Analysis of metrics is based on RAYG indicators that provide an early indication of potential stress and acts as triggers so that breaches of Risk Appetite can be avoided by adopting appropriate strategies and actions;</w:t>
      </w:r>
    </w:p>
    <w:p w14:paraId="590C5DF4" w14:textId="77777777" w:rsidR="002D3FFE" w:rsidRPr="00DD4A91" w:rsidRDefault="002D3FFE" w:rsidP="0006275C">
      <w:pPr>
        <w:pStyle w:val="ListParagraphNumbers"/>
        <w:keepLines/>
        <w:numPr>
          <w:ilvl w:val="0"/>
          <w:numId w:val="15"/>
        </w:numPr>
        <w:spacing w:line="276" w:lineRule="auto"/>
        <w:ind w:left="1078" w:hanging="539"/>
      </w:pPr>
      <w:r w:rsidRPr="00DD4A91">
        <w:t>Future trend analysis and calculation of rolling averages.</w:t>
      </w:r>
    </w:p>
    <w:p w14:paraId="4A7D3534" w14:textId="7D931A12" w:rsidR="002D3FFE" w:rsidRPr="00DD4A91" w:rsidRDefault="002D3FFE" w:rsidP="0006275C">
      <w:pPr>
        <w:pStyle w:val="ListParagraphNumbers"/>
        <w:numPr>
          <w:ilvl w:val="0"/>
          <w:numId w:val="0"/>
        </w:numPr>
        <w:spacing w:after="0" w:line="276" w:lineRule="auto"/>
      </w:pPr>
      <w:r w:rsidRPr="00DD4A91">
        <w:t xml:space="preserve">Management also </w:t>
      </w:r>
      <w:r w:rsidR="00A06501" w:rsidRPr="00DD4A91">
        <w:t>receives</w:t>
      </w:r>
      <w:r w:rsidRPr="00DD4A91">
        <w:t xml:space="preserve"> daily reports to facilitate the ongoing assessment of performance against risk appetite including:</w:t>
      </w:r>
    </w:p>
    <w:p w14:paraId="406EE462" w14:textId="77777777" w:rsidR="002D3FFE" w:rsidRPr="00DD4A91" w:rsidRDefault="002D3FFE" w:rsidP="0006275C">
      <w:pPr>
        <w:pStyle w:val="List1"/>
        <w:keepLines/>
        <w:numPr>
          <w:ilvl w:val="0"/>
          <w:numId w:val="16"/>
        </w:numPr>
        <w:tabs>
          <w:tab w:val="left" w:pos="720"/>
        </w:tabs>
        <w:spacing w:before="120" w:after="0" w:line="276" w:lineRule="auto"/>
        <w:ind w:left="1560" w:hanging="426"/>
        <w:contextualSpacing/>
      </w:pPr>
      <w:r w:rsidRPr="00DD4A91">
        <w:t>the Daily Loans Dashboard, and,</w:t>
      </w:r>
    </w:p>
    <w:p w14:paraId="793C4AEE" w14:textId="77777777" w:rsidR="002D3FFE" w:rsidRPr="00DD4A91" w:rsidRDefault="002D3FFE" w:rsidP="0006275C">
      <w:pPr>
        <w:pStyle w:val="List1"/>
        <w:keepLines/>
        <w:numPr>
          <w:ilvl w:val="0"/>
          <w:numId w:val="16"/>
        </w:numPr>
        <w:tabs>
          <w:tab w:val="left" w:pos="720"/>
        </w:tabs>
        <w:spacing w:before="120" w:after="0" w:line="276" w:lineRule="auto"/>
        <w:ind w:left="1560" w:hanging="426"/>
        <w:contextualSpacing/>
      </w:pPr>
      <w:r w:rsidRPr="00DD4A91">
        <w:t>the Daily Liquidity Report.</w:t>
      </w:r>
    </w:p>
    <w:p w14:paraId="1D952CAE" w14:textId="77777777" w:rsidR="002D3FFE" w:rsidRPr="00DD4A91" w:rsidRDefault="002D3FFE" w:rsidP="00734134">
      <w:pPr>
        <w:pStyle w:val="Heading2"/>
      </w:pPr>
      <w:bookmarkStart w:id="50" w:name="_Hlk97022453"/>
      <w:r w:rsidRPr="00DD4A91">
        <w:t>The Risk Profile</w:t>
      </w:r>
    </w:p>
    <w:p w14:paraId="7EDFD497" w14:textId="784ACCC6" w:rsidR="002D3FFE" w:rsidRDefault="002D3FFE" w:rsidP="0006275C">
      <w:pPr>
        <w:tabs>
          <w:tab w:val="left" w:pos="2543"/>
        </w:tabs>
        <w:jc w:val="both"/>
        <w:rPr>
          <w:szCs w:val="22"/>
        </w:rPr>
      </w:pPr>
      <w:bookmarkStart w:id="51" w:name="_Toc3291532"/>
      <w:bookmarkEnd w:id="50"/>
      <w:bookmarkEnd w:id="51"/>
      <w:r w:rsidRPr="00DD4A91">
        <w:rPr>
          <w:szCs w:val="22"/>
        </w:rPr>
        <w:t xml:space="preserve">The Bank’s principal risks are defined </w:t>
      </w:r>
      <w:r w:rsidR="00B734D0">
        <w:rPr>
          <w:szCs w:val="22"/>
        </w:rPr>
        <w:t xml:space="preserve">below along with their </w:t>
      </w:r>
      <w:r w:rsidR="00817026">
        <w:rPr>
          <w:szCs w:val="22"/>
        </w:rPr>
        <w:t xml:space="preserve">associated </w:t>
      </w:r>
      <w:r w:rsidR="00B734D0">
        <w:rPr>
          <w:szCs w:val="22"/>
        </w:rPr>
        <w:t>risk appetite</w:t>
      </w:r>
      <w:r w:rsidR="002D0504">
        <w:rPr>
          <w:szCs w:val="22"/>
        </w:rPr>
        <w:t xml:space="preserve"> statements</w:t>
      </w:r>
      <w:r w:rsidR="00817026">
        <w:rPr>
          <w:szCs w:val="22"/>
        </w:rPr>
        <w:t>:</w:t>
      </w:r>
    </w:p>
    <w:p w14:paraId="034DE0AC" w14:textId="77777777" w:rsidR="004014B5" w:rsidRPr="00DD4A91" w:rsidRDefault="004014B5" w:rsidP="0006275C">
      <w:pPr>
        <w:tabs>
          <w:tab w:val="left" w:pos="2543"/>
        </w:tabs>
        <w:jc w:val="both"/>
        <w:rPr>
          <w:szCs w:val="22"/>
        </w:rPr>
      </w:pPr>
    </w:p>
    <w:p w14:paraId="48AEB61E" w14:textId="77777777" w:rsidR="00C3633E" w:rsidRPr="00CF01D3" w:rsidRDefault="00C3633E" w:rsidP="00F5097F">
      <w:pPr>
        <w:pStyle w:val="ListParagraph"/>
        <w:numPr>
          <w:ilvl w:val="0"/>
          <w:numId w:val="39"/>
        </w:numPr>
        <w:jc w:val="both"/>
        <w:rPr>
          <w:color w:val="5B9BD5" w:themeColor="accent5"/>
        </w:rPr>
      </w:pPr>
      <w:r w:rsidRPr="00CF01D3">
        <w:rPr>
          <w:color w:val="5B9BD5" w:themeColor="accent5"/>
        </w:rPr>
        <w:t>Strategic risk</w:t>
      </w:r>
    </w:p>
    <w:p w14:paraId="1FA3802B" w14:textId="77777777" w:rsidR="0076164E" w:rsidRDefault="00C3633E" w:rsidP="00C73104">
      <w:pPr>
        <w:spacing w:line="276" w:lineRule="auto"/>
        <w:ind w:left="360"/>
        <w:jc w:val="both"/>
        <w:rPr>
          <w:szCs w:val="22"/>
        </w:rPr>
      </w:pPr>
      <w:r w:rsidRPr="006A03AA">
        <w:rPr>
          <w:szCs w:val="22"/>
        </w:rPr>
        <w:t>The risk of having an insufficiently defined or flawed strategy that does not adapt to market and business developments and/or meet the requirements and expectations of our stakeholders.</w:t>
      </w:r>
      <w:r w:rsidR="0076164E">
        <w:rPr>
          <w:szCs w:val="22"/>
        </w:rPr>
        <w:t xml:space="preserve"> </w:t>
      </w:r>
      <w:r w:rsidRPr="006A03AA">
        <w:rPr>
          <w:szCs w:val="22"/>
        </w:rPr>
        <w:t xml:space="preserve">The Bank maintains a low appetite for Strategic Risk.  </w:t>
      </w:r>
    </w:p>
    <w:p w14:paraId="5684D4B1" w14:textId="77777777" w:rsidR="0076164E" w:rsidRDefault="0076164E" w:rsidP="00C73104">
      <w:pPr>
        <w:spacing w:line="276" w:lineRule="auto"/>
        <w:ind w:left="360"/>
        <w:rPr>
          <w:szCs w:val="22"/>
        </w:rPr>
      </w:pPr>
    </w:p>
    <w:p w14:paraId="5CE58D40" w14:textId="5E78ACAA" w:rsidR="00C3633E" w:rsidRDefault="00C3633E" w:rsidP="00C73104">
      <w:pPr>
        <w:spacing w:line="276" w:lineRule="auto"/>
        <w:ind w:left="360"/>
        <w:jc w:val="both"/>
        <w:rPr>
          <w:szCs w:val="22"/>
        </w:rPr>
      </w:pPr>
      <w:r w:rsidRPr="006A03AA">
        <w:rPr>
          <w:szCs w:val="22"/>
        </w:rPr>
        <w:t xml:space="preserve">We aim to deliver a satisfactory return on capital to our shareholders, generating profitable returns and building gross lending balances, whilst retaining stable asset quality and maintaining a satisfactory cost of risk.  We will achieve this within our stated Risk Appetite and regulatory guidelines and deliver market leading customer service, demonstrated by above average new business margins and positive customer experience.  We aim to be an employer of choice, </w:t>
      </w:r>
      <w:r w:rsidRPr="006A03AA">
        <w:rPr>
          <w:szCs w:val="22"/>
        </w:rPr>
        <w:lastRenderedPageBreak/>
        <w:t>ensuring that we have the right mix of skills and experience to grow the Bank.  We work hard to protect our brand, minimising reputational risk and play an active and responsible part in our community.</w:t>
      </w:r>
    </w:p>
    <w:p w14:paraId="36E1E8FF" w14:textId="77777777" w:rsidR="003660F7" w:rsidRDefault="003660F7" w:rsidP="003660F7">
      <w:pPr>
        <w:jc w:val="both"/>
      </w:pPr>
    </w:p>
    <w:p w14:paraId="577F272A" w14:textId="3A9A5D7E" w:rsidR="00F65CC5" w:rsidRPr="00CF01D3" w:rsidRDefault="00F65CC5" w:rsidP="00F5097F">
      <w:pPr>
        <w:pStyle w:val="ListParagraph"/>
        <w:numPr>
          <w:ilvl w:val="0"/>
          <w:numId w:val="39"/>
        </w:numPr>
        <w:jc w:val="both"/>
        <w:rPr>
          <w:color w:val="5B9BD5" w:themeColor="accent5"/>
        </w:rPr>
      </w:pPr>
      <w:r w:rsidRPr="00CF01D3">
        <w:rPr>
          <w:color w:val="5B9BD5" w:themeColor="accent5"/>
        </w:rPr>
        <w:t>Environmental</w:t>
      </w:r>
      <w:r w:rsidR="003C444F">
        <w:rPr>
          <w:color w:val="5B9BD5" w:themeColor="accent5"/>
        </w:rPr>
        <w:t xml:space="preserve">, </w:t>
      </w:r>
      <w:r w:rsidRPr="00CF01D3">
        <w:rPr>
          <w:color w:val="5B9BD5" w:themeColor="accent5"/>
        </w:rPr>
        <w:t xml:space="preserve">Social </w:t>
      </w:r>
      <w:r w:rsidR="003C444F">
        <w:rPr>
          <w:color w:val="5B9BD5" w:themeColor="accent5"/>
        </w:rPr>
        <w:t xml:space="preserve">and </w:t>
      </w:r>
      <w:r w:rsidRPr="00CF01D3">
        <w:rPr>
          <w:color w:val="5B9BD5" w:themeColor="accent5"/>
        </w:rPr>
        <w:t>Governance Risk</w:t>
      </w:r>
    </w:p>
    <w:p w14:paraId="482049A9" w14:textId="2967E187" w:rsidR="00F65CC5" w:rsidRDefault="00F65CC5" w:rsidP="00CF01D3">
      <w:pPr>
        <w:spacing w:line="276" w:lineRule="auto"/>
        <w:ind w:left="360"/>
        <w:jc w:val="both"/>
        <w:rPr>
          <w:szCs w:val="22"/>
        </w:rPr>
      </w:pPr>
      <w:r w:rsidRPr="00FA2D4F">
        <w:rPr>
          <w:szCs w:val="22"/>
        </w:rPr>
        <w:t xml:space="preserve">The risk that, if an environmental social or governance event occurs, it could cause an actual or a potential material negative impact on the Bank. </w:t>
      </w:r>
      <w:r w:rsidR="00452FEA" w:rsidRPr="00FA2D4F">
        <w:rPr>
          <w:szCs w:val="22"/>
        </w:rPr>
        <w:t>The Bank will achieve this within its stated Risk Appetite and regulatory guidelines and deliver positive ESG behaviours whilst managing any potential conflicts of interest, such as the prevention of greenwashing.</w:t>
      </w:r>
    </w:p>
    <w:p w14:paraId="6DEC3BE6" w14:textId="77777777" w:rsidR="00CF01D3" w:rsidRPr="00FA2D4F" w:rsidRDefault="00CF01D3" w:rsidP="00CF01D3">
      <w:pPr>
        <w:spacing w:line="276" w:lineRule="auto"/>
        <w:ind w:left="360"/>
        <w:jc w:val="both"/>
        <w:rPr>
          <w:szCs w:val="22"/>
        </w:rPr>
      </w:pPr>
    </w:p>
    <w:p w14:paraId="7CC4DD87" w14:textId="320FD9E4" w:rsidR="00F65CC5" w:rsidRPr="00FA2D4F" w:rsidRDefault="00F65CC5" w:rsidP="00CF01D3">
      <w:pPr>
        <w:spacing w:line="276" w:lineRule="auto"/>
        <w:ind w:left="720"/>
        <w:jc w:val="both"/>
        <w:rPr>
          <w:szCs w:val="22"/>
        </w:rPr>
      </w:pPr>
      <w:r w:rsidRPr="00C73104">
        <w:rPr>
          <w:b/>
          <w:bCs/>
          <w:szCs w:val="22"/>
        </w:rPr>
        <w:t>Environmental:</w:t>
      </w:r>
      <w:r w:rsidRPr="00FA2D4F">
        <w:rPr>
          <w:szCs w:val="22"/>
        </w:rPr>
        <w:t xml:space="preserve"> </w:t>
      </w:r>
      <w:r w:rsidR="00712184" w:rsidRPr="00FA2D4F">
        <w:rPr>
          <w:szCs w:val="22"/>
        </w:rPr>
        <w:t xml:space="preserve">The Bank has a low appetite for Environmental Risk overall. </w:t>
      </w:r>
      <w:r w:rsidR="00452FEA" w:rsidRPr="00FA2D4F">
        <w:rPr>
          <w:szCs w:val="22"/>
        </w:rPr>
        <w:t>We proactively</w:t>
      </w:r>
      <w:r w:rsidRPr="00FA2D4F">
        <w:rPr>
          <w:szCs w:val="22"/>
        </w:rPr>
        <w:t xml:space="preserve"> manage the Loan Book to minimise the physical and transitional risks to the Bank from climate change.  The Bank is actively trying to avoid the creation of ‘stranded assets</w:t>
      </w:r>
      <w:r w:rsidR="001E4E1F" w:rsidRPr="00FA2D4F">
        <w:rPr>
          <w:szCs w:val="22"/>
        </w:rPr>
        <w:t>,’</w:t>
      </w:r>
      <w:r w:rsidRPr="00FA2D4F">
        <w:rPr>
          <w:szCs w:val="22"/>
        </w:rPr>
        <w:t xml:space="preserve"> i.e., those assets that become difficult to rent or sell due to either their energy performance rating or flood risk, which in turn may impact the value of the security</w:t>
      </w:r>
    </w:p>
    <w:p w14:paraId="17019DE0" w14:textId="77777777" w:rsidR="00F65CC5" w:rsidRPr="00FA2D4F" w:rsidRDefault="00F65CC5" w:rsidP="00CF01D3">
      <w:pPr>
        <w:spacing w:line="276" w:lineRule="auto"/>
        <w:ind w:left="720"/>
        <w:jc w:val="both"/>
        <w:rPr>
          <w:szCs w:val="22"/>
        </w:rPr>
      </w:pPr>
    </w:p>
    <w:p w14:paraId="223DB581" w14:textId="667FCE9E" w:rsidR="00712184" w:rsidRPr="00FA2D4F" w:rsidRDefault="00F65CC5" w:rsidP="00CF01D3">
      <w:pPr>
        <w:spacing w:line="276" w:lineRule="auto"/>
        <w:ind w:left="720"/>
        <w:jc w:val="both"/>
        <w:rPr>
          <w:szCs w:val="22"/>
        </w:rPr>
      </w:pPr>
      <w:r w:rsidRPr="00C73104">
        <w:rPr>
          <w:b/>
          <w:bCs/>
          <w:szCs w:val="22"/>
        </w:rPr>
        <w:t>Social:</w:t>
      </w:r>
      <w:r w:rsidRPr="00FA2D4F">
        <w:rPr>
          <w:szCs w:val="22"/>
        </w:rPr>
        <w:t xml:space="preserve"> </w:t>
      </w:r>
      <w:r w:rsidR="00712184" w:rsidRPr="00FA2D4F">
        <w:rPr>
          <w:szCs w:val="22"/>
        </w:rPr>
        <w:t>The Bank has a low appetite for Social Risk overall and aims to create a positive impact on the local community and to be an employer of choice for its colleagues</w:t>
      </w:r>
      <w:r w:rsidR="00452FEA" w:rsidRPr="00FA2D4F">
        <w:rPr>
          <w:szCs w:val="22"/>
        </w:rPr>
        <w:t>. We</w:t>
      </w:r>
      <w:r w:rsidR="00712184" w:rsidRPr="00FA2D4F">
        <w:rPr>
          <w:szCs w:val="22"/>
        </w:rPr>
        <w:t xml:space="preserve"> demonstrate positive inclusive and diverse behaviours to create and maintain a workplace that attracts, retains and rewards talented and committed people, who feel a belonging to the firm.  </w:t>
      </w:r>
      <w:r w:rsidR="00452FEA" w:rsidRPr="00FA2D4F">
        <w:rPr>
          <w:szCs w:val="22"/>
        </w:rPr>
        <w:t>Additionally, we engage</w:t>
      </w:r>
      <w:r w:rsidR="00712184" w:rsidRPr="00FA2D4F">
        <w:rPr>
          <w:szCs w:val="22"/>
        </w:rPr>
        <w:t xml:space="preserve"> in the local community through a mix of sponsorship and volunteering. </w:t>
      </w:r>
    </w:p>
    <w:p w14:paraId="300914C2" w14:textId="3468CCB6" w:rsidR="00F65CC5" w:rsidRPr="00FA2D4F" w:rsidRDefault="00F65CC5" w:rsidP="00CF01D3">
      <w:pPr>
        <w:spacing w:line="276" w:lineRule="auto"/>
        <w:ind w:left="720"/>
        <w:jc w:val="both"/>
        <w:rPr>
          <w:szCs w:val="22"/>
        </w:rPr>
      </w:pPr>
    </w:p>
    <w:p w14:paraId="1DA657A2" w14:textId="4DCB8AD5" w:rsidR="00452FEA" w:rsidRDefault="00452FEA" w:rsidP="00CF01D3">
      <w:pPr>
        <w:spacing w:line="276" w:lineRule="auto"/>
        <w:ind w:left="720"/>
        <w:jc w:val="both"/>
        <w:rPr>
          <w:szCs w:val="22"/>
        </w:rPr>
      </w:pPr>
      <w:r w:rsidRPr="00C73104">
        <w:rPr>
          <w:b/>
          <w:bCs/>
          <w:szCs w:val="22"/>
        </w:rPr>
        <w:t>Governance</w:t>
      </w:r>
      <w:r w:rsidRPr="00FA2D4F">
        <w:rPr>
          <w:szCs w:val="22"/>
        </w:rPr>
        <w:t>: The Bank has a low appetite for Governance Risk overall and aims to deliver the strategic plan set by the Board whilst adhering to the guidelines established by the Task Force on Climate-related Financial Disclosures.</w:t>
      </w:r>
    </w:p>
    <w:p w14:paraId="1719F8C1" w14:textId="77777777" w:rsidR="00126455" w:rsidRDefault="00126455" w:rsidP="00126455">
      <w:pPr>
        <w:spacing w:line="276" w:lineRule="auto"/>
        <w:ind w:left="360"/>
        <w:jc w:val="both"/>
        <w:rPr>
          <w:rFonts w:cstheme="minorHAnsi"/>
          <w:highlight w:val="yellow"/>
        </w:rPr>
      </w:pPr>
    </w:p>
    <w:p w14:paraId="3A0051DC" w14:textId="3C3D4F5A" w:rsidR="00126455" w:rsidRPr="00E546CD" w:rsidRDefault="00126455" w:rsidP="00126455">
      <w:pPr>
        <w:spacing w:line="276" w:lineRule="auto"/>
        <w:ind w:left="360"/>
        <w:jc w:val="both"/>
        <w:rPr>
          <w:rFonts w:cstheme="minorHAnsi"/>
        </w:rPr>
      </w:pPr>
      <w:r w:rsidRPr="00867D5F">
        <w:rPr>
          <w:rFonts w:cstheme="minorHAnsi"/>
        </w:rPr>
        <w:t>In April 2023, the Bank made a constitutional change to complete the ‘Mission Lock’ required as part of becoming a B Corp.  The aim of Mission Lock is to allow the Board to promote the success of the Company through its business to have a material positive impact on society and the environment, as well as for the success of its shareholders. The Bank’s status as a certified B Corp provides a governance framework for the Bank to manage ESG impact.</w:t>
      </w:r>
      <w:r w:rsidRPr="00867D5F">
        <w:rPr>
          <w:sz w:val="18"/>
          <w:szCs w:val="18"/>
        </w:rPr>
        <w:t> </w:t>
      </w:r>
      <w:r w:rsidRPr="00867D5F">
        <w:rPr>
          <w:rFonts w:cstheme="minorHAnsi"/>
        </w:rPr>
        <w:t>The Bank believes that being a B Corp aligns with its vision of building a more inclusive, equitable and regenerative economy for all people and the planet.</w:t>
      </w:r>
      <w:r w:rsidRPr="002D0F58">
        <w:rPr>
          <w:rFonts w:cstheme="minorHAnsi"/>
        </w:rPr>
        <w:t xml:space="preserve"> </w:t>
      </w:r>
    </w:p>
    <w:p w14:paraId="2039FD2D" w14:textId="77777777" w:rsidR="00F65CC5" w:rsidRPr="00F86EED" w:rsidRDefault="00F65CC5" w:rsidP="00F86EED">
      <w:pPr>
        <w:jc w:val="both"/>
        <w:rPr>
          <w:b/>
          <w:bCs/>
        </w:rPr>
      </w:pPr>
    </w:p>
    <w:p w14:paraId="13B461C5" w14:textId="48CC0F98" w:rsidR="003660F7" w:rsidRPr="00CF01D3" w:rsidRDefault="003660F7" w:rsidP="00F5097F">
      <w:pPr>
        <w:pStyle w:val="ListParagraph"/>
        <w:numPr>
          <w:ilvl w:val="0"/>
          <w:numId w:val="39"/>
        </w:numPr>
        <w:jc w:val="both"/>
        <w:rPr>
          <w:color w:val="5B9BD5" w:themeColor="accent5"/>
        </w:rPr>
      </w:pPr>
      <w:r w:rsidRPr="00CF01D3">
        <w:rPr>
          <w:color w:val="5B9BD5" w:themeColor="accent5"/>
        </w:rPr>
        <w:t>Capital Adequacy</w:t>
      </w:r>
      <w:r w:rsidR="00EE6FE7" w:rsidRPr="00CF01D3">
        <w:rPr>
          <w:color w:val="5B9BD5" w:themeColor="accent5"/>
        </w:rPr>
        <w:t xml:space="preserve"> risk</w:t>
      </w:r>
    </w:p>
    <w:p w14:paraId="1AD5C49F" w14:textId="77777777" w:rsidR="0076164E" w:rsidRDefault="003660F7" w:rsidP="00C73104">
      <w:pPr>
        <w:spacing w:line="276" w:lineRule="auto"/>
        <w:ind w:left="360"/>
        <w:jc w:val="both"/>
        <w:rPr>
          <w:szCs w:val="22"/>
        </w:rPr>
      </w:pPr>
      <w:r w:rsidRPr="000C0C4A">
        <w:rPr>
          <w:szCs w:val="22"/>
        </w:rPr>
        <w:t xml:space="preserve">The risk that the Bank fails to hold sufficient capital to meet its regulatory obligations, support its growth plans or to absorb shocks. The Bank maintains a low appetite for Capital Adequacy Risk.  </w:t>
      </w:r>
    </w:p>
    <w:p w14:paraId="049391F4" w14:textId="77777777" w:rsidR="0076164E" w:rsidRDefault="0076164E" w:rsidP="00C73104">
      <w:pPr>
        <w:spacing w:line="276" w:lineRule="auto"/>
        <w:ind w:left="360"/>
        <w:jc w:val="both"/>
        <w:rPr>
          <w:szCs w:val="22"/>
        </w:rPr>
      </w:pPr>
    </w:p>
    <w:p w14:paraId="0A1781F6" w14:textId="21A4FEDB" w:rsidR="003660F7" w:rsidRPr="000C0C4A" w:rsidRDefault="003660F7" w:rsidP="00C73104">
      <w:pPr>
        <w:spacing w:line="276" w:lineRule="auto"/>
        <w:ind w:left="360"/>
        <w:jc w:val="both"/>
        <w:rPr>
          <w:szCs w:val="22"/>
        </w:rPr>
      </w:pPr>
      <w:r w:rsidRPr="000C0C4A">
        <w:rPr>
          <w:szCs w:val="22"/>
        </w:rPr>
        <w:t xml:space="preserve">Our priority is to maintain (via retained earnings) a capital surplus above CET1 and Total Capital </w:t>
      </w:r>
      <w:r w:rsidR="007C09CA">
        <w:rPr>
          <w:szCs w:val="22"/>
        </w:rPr>
        <w:t>R</w:t>
      </w:r>
      <w:r w:rsidRPr="000C0C4A">
        <w:rPr>
          <w:szCs w:val="22"/>
        </w:rPr>
        <w:t xml:space="preserve">equirements sufficient to absorb any unexpected losses and costs without </w:t>
      </w:r>
      <w:r w:rsidRPr="00024F76">
        <w:rPr>
          <w:szCs w:val="22"/>
        </w:rPr>
        <w:t>using regulatory buffers</w:t>
      </w:r>
      <w:r w:rsidR="00C338F1" w:rsidRPr="00024F76">
        <w:rPr>
          <w:szCs w:val="22"/>
        </w:rPr>
        <w:t>, noting the position may change in times of significant macro-economic stress.</w:t>
      </w:r>
      <w:r w:rsidR="003C444F" w:rsidRPr="00024F76">
        <w:rPr>
          <w:szCs w:val="22"/>
        </w:rPr>
        <w:t xml:space="preserve"> An initial evaluation of the potential impact of Basel 3.1 on the Bank’s risk weighted assets and capital requirements has been completed.</w:t>
      </w:r>
    </w:p>
    <w:p w14:paraId="5C5152CA" w14:textId="61611076" w:rsidR="003660F7" w:rsidRDefault="003660F7" w:rsidP="00C3633E">
      <w:pPr>
        <w:jc w:val="both"/>
        <w:rPr>
          <w:szCs w:val="22"/>
        </w:rPr>
      </w:pPr>
    </w:p>
    <w:p w14:paraId="0C130251" w14:textId="7E9A4B39" w:rsidR="00DD2307" w:rsidRPr="00CF01D3" w:rsidRDefault="00DD2307" w:rsidP="00F5097F">
      <w:pPr>
        <w:pStyle w:val="ListParagraph"/>
        <w:numPr>
          <w:ilvl w:val="0"/>
          <w:numId w:val="39"/>
        </w:numPr>
        <w:jc w:val="both"/>
        <w:rPr>
          <w:color w:val="5B9BD5" w:themeColor="accent5"/>
        </w:rPr>
      </w:pPr>
      <w:r w:rsidRPr="00CF01D3">
        <w:rPr>
          <w:color w:val="5B9BD5" w:themeColor="accent5"/>
        </w:rPr>
        <w:t xml:space="preserve">Liquidity and </w:t>
      </w:r>
      <w:r w:rsidR="00E72D5B">
        <w:rPr>
          <w:color w:val="5B9BD5" w:themeColor="accent5"/>
        </w:rPr>
        <w:t>F</w:t>
      </w:r>
      <w:r w:rsidRPr="00CF01D3">
        <w:rPr>
          <w:color w:val="5B9BD5" w:themeColor="accent5"/>
        </w:rPr>
        <w:t>unding risk</w:t>
      </w:r>
    </w:p>
    <w:p w14:paraId="11100C46" w14:textId="77777777" w:rsidR="0076164E" w:rsidRDefault="00DD2307" w:rsidP="00C73104">
      <w:pPr>
        <w:spacing w:line="276" w:lineRule="auto"/>
        <w:ind w:left="360"/>
        <w:jc w:val="both"/>
        <w:rPr>
          <w:szCs w:val="22"/>
        </w:rPr>
      </w:pPr>
      <w:r w:rsidRPr="000C0C4A">
        <w:rPr>
          <w:szCs w:val="22"/>
        </w:rPr>
        <w:t xml:space="preserve">The risk of being unable to fund assets and meet obligations as they fall due without incurring unacceptable losses. The Bank maintains a low-risk appetite for Liquidity &amp; Funding Risk.  </w:t>
      </w:r>
    </w:p>
    <w:p w14:paraId="17B2A0A0" w14:textId="77777777" w:rsidR="0076164E" w:rsidRDefault="0076164E" w:rsidP="00C73104">
      <w:pPr>
        <w:spacing w:line="276" w:lineRule="auto"/>
        <w:ind w:left="360"/>
        <w:jc w:val="both"/>
        <w:rPr>
          <w:szCs w:val="22"/>
        </w:rPr>
      </w:pPr>
    </w:p>
    <w:p w14:paraId="63C15CD3" w14:textId="7486F5B8" w:rsidR="00DD2307" w:rsidRDefault="00DD2307" w:rsidP="00C73104">
      <w:pPr>
        <w:spacing w:line="276" w:lineRule="auto"/>
        <w:ind w:left="360"/>
        <w:jc w:val="both"/>
        <w:rPr>
          <w:szCs w:val="22"/>
        </w:rPr>
      </w:pPr>
      <w:r w:rsidRPr="000C0C4A">
        <w:rPr>
          <w:szCs w:val="22"/>
        </w:rPr>
        <w:t>The Bank</w:t>
      </w:r>
      <w:r w:rsidR="00B567B7">
        <w:rPr>
          <w:szCs w:val="22"/>
        </w:rPr>
        <w:t xml:space="preserve"> monitors </w:t>
      </w:r>
      <w:r w:rsidRPr="000C0C4A">
        <w:rPr>
          <w:szCs w:val="22"/>
        </w:rPr>
        <w:t xml:space="preserve">its liquidity and funding requirements on a regular basis, including intra-day risk and maintains sufficient liquidity headroom to ensure that the Board’s risk appetite and </w:t>
      </w:r>
      <w:r w:rsidRPr="000C0C4A">
        <w:rPr>
          <w:szCs w:val="22"/>
        </w:rPr>
        <w:lastRenderedPageBreak/>
        <w:t xml:space="preserve">regulatory requirements are </w:t>
      </w:r>
      <w:r w:rsidR="007E311B" w:rsidRPr="000C0C4A">
        <w:rPr>
          <w:szCs w:val="22"/>
        </w:rPr>
        <w:t>always met</w:t>
      </w:r>
      <w:r w:rsidRPr="000C0C4A">
        <w:rPr>
          <w:szCs w:val="22"/>
        </w:rPr>
        <w:t>. We will maintain sufficient liquid assets to meet liabilities as they fall due in a stressed scenario, including satisfactory liquidity coverage and loan to deposit ratios.  We will ensure that we are not overly reliant upon any single savings intermediary to raise deposits</w:t>
      </w:r>
      <w:r w:rsidR="00514DC6">
        <w:rPr>
          <w:szCs w:val="22"/>
        </w:rPr>
        <w:t xml:space="preserve"> and </w:t>
      </w:r>
      <w:r w:rsidR="00514DC6" w:rsidRPr="00FA2D4F">
        <w:rPr>
          <w:szCs w:val="22"/>
        </w:rPr>
        <w:t>continue to grow deposits raised directly from customers.</w:t>
      </w:r>
    </w:p>
    <w:p w14:paraId="699439FA" w14:textId="77777777" w:rsidR="00DD2307" w:rsidRDefault="00DD2307" w:rsidP="00DD2307">
      <w:pPr>
        <w:jc w:val="both"/>
        <w:rPr>
          <w:szCs w:val="22"/>
        </w:rPr>
      </w:pPr>
    </w:p>
    <w:p w14:paraId="7681182A" w14:textId="77777777" w:rsidR="00DD2307" w:rsidRPr="00CF01D3" w:rsidRDefault="00DD2307" w:rsidP="00F5097F">
      <w:pPr>
        <w:pStyle w:val="ListParagraph"/>
        <w:numPr>
          <w:ilvl w:val="0"/>
          <w:numId w:val="39"/>
        </w:numPr>
        <w:jc w:val="both"/>
        <w:rPr>
          <w:color w:val="5B9BD5" w:themeColor="accent5"/>
        </w:rPr>
      </w:pPr>
      <w:r w:rsidRPr="00CF01D3">
        <w:rPr>
          <w:color w:val="5B9BD5" w:themeColor="accent5"/>
        </w:rPr>
        <w:t>Market risk</w:t>
      </w:r>
    </w:p>
    <w:p w14:paraId="3E7932F9" w14:textId="7A4EB8E0" w:rsidR="00630C8C" w:rsidRDefault="00DD2307" w:rsidP="00C73104">
      <w:pPr>
        <w:spacing w:line="276" w:lineRule="auto"/>
        <w:ind w:left="360"/>
        <w:jc w:val="both"/>
        <w:rPr>
          <w:szCs w:val="22"/>
        </w:rPr>
      </w:pPr>
      <w:r w:rsidRPr="003A76B3">
        <w:rPr>
          <w:szCs w:val="22"/>
        </w:rPr>
        <w:t>The risk that changes in market rates negatively impact the earnings or market value of the Bank’s assets or liabilities.</w:t>
      </w:r>
      <w:r w:rsidR="00622322">
        <w:rPr>
          <w:szCs w:val="22"/>
        </w:rPr>
        <w:t xml:space="preserve"> </w:t>
      </w:r>
      <w:r w:rsidRPr="003A76B3">
        <w:rPr>
          <w:szCs w:val="22"/>
        </w:rPr>
        <w:t>The Bank has no appetite for foreign currency risk and a low appetite for interest rate and basis risk</w:t>
      </w:r>
      <w:r w:rsidR="00630C8C">
        <w:rPr>
          <w:szCs w:val="22"/>
        </w:rPr>
        <w:t>.</w:t>
      </w:r>
    </w:p>
    <w:p w14:paraId="2303BF02" w14:textId="77777777" w:rsidR="00630C8C" w:rsidRDefault="00630C8C" w:rsidP="00C73104">
      <w:pPr>
        <w:spacing w:line="276" w:lineRule="auto"/>
        <w:ind w:left="360"/>
        <w:jc w:val="both"/>
        <w:rPr>
          <w:szCs w:val="22"/>
        </w:rPr>
      </w:pPr>
    </w:p>
    <w:p w14:paraId="0E56EEA3" w14:textId="0044BCE0" w:rsidR="00DD2307" w:rsidRDefault="003A28E9" w:rsidP="00C73104">
      <w:pPr>
        <w:spacing w:line="276" w:lineRule="auto"/>
        <w:ind w:left="360"/>
        <w:jc w:val="both"/>
        <w:rPr>
          <w:szCs w:val="22"/>
        </w:rPr>
      </w:pPr>
      <w:r>
        <w:rPr>
          <w:szCs w:val="22"/>
        </w:rPr>
        <w:t xml:space="preserve">Market risk is limited to Interest rate risk in the Banking Book. </w:t>
      </w:r>
      <w:r w:rsidR="00630C8C">
        <w:rPr>
          <w:szCs w:val="22"/>
        </w:rPr>
        <w:t>The</w:t>
      </w:r>
      <w:r w:rsidR="00DD2307" w:rsidRPr="003A76B3">
        <w:rPr>
          <w:szCs w:val="22"/>
        </w:rPr>
        <w:t xml:space="preserve"> </w:t>
      </w:r>
      <w:r w:rsidR="00B64B61">
        <w:rPr>
          <w:szCs w:val="22"/>
        </w:rPr>
        <w:t xml:space="preserve">Bank maintains its </w:t>
      </w:r>
      <w:r w:rsidR="00DD2307" w:rsidRPr="003A76B3">
        <w:rPr>
          <w:szCs w:val="22"/>
        </w:rPr>
        <w:t xml:space="preserve">assets, liabilities and off-balance sheet exposures in </w:t>
      </w:r>
      <w:r w:rsidR="00B64B61">
        <w:rPr>
          <w:szCs w:val="22"/>
        </w:rPr>
        <w:t>S</w:t>
      </w:r>
      <w:r w:rsidR="00DD2307" w:rsidRPr="003A76B3">
        <w:rPr>
          <w:szCs w:val="22"/>
        </w:rPr>
        <w:t>terling a</w:t>
      </w:r>
      <w:r w:rsidR="00DB39E2">
        <w:rPr>
          <w:szCs w:val="22"/>
        </w:rPr>
        <w:t>re</w:t>
      </w:r>
      <w:r w:rsidR="00DD2307" w:rsidRPr="003A76B3">
        <w:rPr>
          <w:szCs w:val="22"/>
        </w:rPr>
        <w:t xml:space="preserve"> carefully manag</w:t>
      </w:r>
      <w:r w:rsidR="00B64B61">
        <w:rPr>
          <w:szCs w:val="22"/>
        </w:rPr>
        <w:t>es</w:t>
      </w:r>
      <w:r w:rsidR="00DD2307" w:rsidRPr="003A76B3">
        <w:rPr>
          <w:szCs w:val="22"/>
        </w:rPr>
        <w:t xml:space="preserve"> mismatches between tenors of loans and deposits, hedging exposures where necessary within pre-determined limits</w:t>
      </w:r>
    </w:p>
    <w:p w14:paraId="5EF71A09" w14:textId="77777777" w:rsidR="00C3633E" w:rsidRDefault="00C3633E" w:rsidP="00C3633E">
      <w:pPr>
        <w:pStyle w:val="ListParagraph"/>
        <w:jc w:val="both"/>
        <w:rPr>
          <w:b/>
          <w:bCs/>
        </w:rPr>
      </w:pPr>
    </w:p>
    <w:p w14:paraId="06E99A86" w14:textId="0198D384" w:rsidR="0030723C" w:rsidRPr="00CF01D3" w:rsidRDefault="0030723C" w:rsidP="00F5097F">
      <w:pPr>
        <w:pStyle w:val="ListParagraph"/>
        <w:numPr>
          <w:ilvl w:val="0"/>
          <w:numId w:val="39"/>
        </w:numPr>
        <w:jc w:val="both"/>
        <w:rPr>
          <w:color w:val="5B9BD5" w:themeColor="accent5"/>
        </w:rPr>
      </w:pPr>
      <w:r w:rsidRPr="00CF01D3">
        <w:rPr>
          <w:color w:val="5B9BD5" w:themeColor="accent5"/>
        </w:rPr>
        <w:t>Credit risk</w:t>
      </w:r>
    </w:p>
    <w:p w14:paraId="1EA82ADE" w14:textId="7A98CF34" w:rsidR="0006275C" w:rsidRPr="00024F76" w:rsidRDefault="0030723C" w:rsidP="00C73104">
      <w:pPr>
        <w:spacing w:line="276" w:lineRule="auto"/>
        <w:ind w:left="360"/>
        <w:jc w:val="both"/>
        <w:rPr>
          <w:szCs w:val="22"/>
        </w:rPr>
      </w:pPr>
      <w:r w:rsidRPr="000C0C4A">
        <w:rPr>
          <w:szCs w:val="22"/>
        </w:rPr>
        <w:t xml:space="preserve">The risk that counterparties fail to meet the commitments into which they have entered in a timely manner. The Bank has </w:t>
      </w:r>
      <w:r w:rsidRPr="00024F76">
        <w:rPr>
          <w:szCs w:val="22"/>
        </w:rPr>
        <w:t>a moderate appetite for Credit Risk overall, maintaining conservative parameters</w:t>
      </w:r>
      <w:r w:rsidR="00E8165B" w:rsidRPr="00024F76">
        <w:rPr>
          <w:szCs w:val="22"/>
        </w:rPr>
        <w:t xml:space="preserve"> </w:t>
      </w:r>
      <w:r w:rsidRPr="00024F76">
        <w:rPr>
          <w:szCs w:val="22"/>
        </w:rPr>
        <w:t xml:space="preserve">including a maximum LTV and </w:t>
      </w:r>
      <w:r w:rsidR="00E72D5B">
        <w:rPr>
          <w:szCs w:val="22"/>
        </w:rPr>
        <w:t xml:space="preserve">minimum </w:t>
      </w:r>
      <w:r w:rsidRPr="00024F76">
        <w:rPr>
          <w:szCs w:val="22"/>
        </w:rPr>
        <w:t>DSCR</w:t>
      </w:r>
      <w:r w:rsidR="00E8165B" w:rsidRPr="00024F76">
        <w:rPr>
          <w:szCs w:val="22"/>
        </w:rPr>
        <w:t>, as well as</w:t>
      </w:r>
      <w:r w:rsidRPr="00024F76">
        <w:rPr>
          <w:szCs w:val="22"/>
        </w:rPr>
        <w:t xml:space="preserve"> focusing on relationship management</w:t>
      </w:r>
      <w:r w:rsidR="00E8165B" w:rsidRPr="00024F76">
        <w:rPr>
          <w:szCs w:val="22"/>
        </w:rPr>
        <w:t xml:space="preserve">, </w:t>
      </w:r>
      <w:r w:rsidRPr="00024F76">
        <w:rPr>
          <w:szCs w:val="22"/>
        </w:rPr>
        <w:t xml:space="preserve">including annual reviews. </w:t>
      </w:r>
      <w:r w:rsidR="006D09FB" w:rsidRPr="00024F76">
        <w:rPr>
          <w:szCs w:val="22"/>
        </w:rPr>
        <w:t>Credit risk represents a principal risk for the Bank.</w:t>
      </w:r>
    </w:p>
    <w:p w14:paraId="7268D02D" w14:textId="77777777" w:rsidR="0006275C" w:rsidRPr="00024F76" w:rsidRDefault="0006275C" w:rsidP="00C73104">
      <w:pPr>
        <w:spacing w:line="276" w:lineRule="auto"/>
        <w:ind w:left="360"/>
        <w:jc w:val="both"/>
        <w:rPr>
          <w:szCs w:val="22"/>
        </w:rPr>
      </w:pPr>
    </w:p>
    <w:p w14:paraId="5F8AE622" w14:textId="28FC8D54" w:rsidR="0030723C" w:rsidRDefault="0030723C" w:rsidP="00C73104">
      <w:pPr>
        <w:spacing w:line="276" w:lineRule="auto"/>
        <w:ind w:left="360"/>
        <w:jc w:val="both"/>
        <w:rPr>
          <w:szCs w:val="22"/>
        </w:rPr>
      </w:pPr>
      <w:r w:rsidRPr="00024F76">
        <w:rPr>
          <w:szCs w:val="22"/>
        </w:rPr>
        <w:t xml:space="preserve">We will maintain the Bank’s lending distribution and product offering within parameters agreed by the Board, diversified by sector and UK region, with a minimal appetite for ‘speculative’ lending.  These ensure that we concentrate lending on areas where we have experienced subject matter experts both in the </w:t>
      </w:r>
      <w:r w:rsidR="006D09FB" w:rsidRPr="00024F76">
        <w:rPr>
          <w:szCs w:val="22"/>
        </w:rPr>
        <w:t>F</w:t>
      </w:r>
      <w:r w:rsidRPr="00024F76">
        <w:rPr>
          <w:szCs w:val="22"/>
        </w:rPr>
        <w:t xml:space="preserve">irst and </w:t>
      </w:r>
      <w:r w:rsidR="006D09FB" w:rsidRPr="00024F76">
        <w:rPr>
          <w:szCs w:val="22"/>
        </w:rPr>
        <w:t>S</w:t>
      </w:r>
      <w:r w:rsidRPr="00024F76">
        <w:rPr>
          <w:szCs w:val="22"/>
        </w:rPr>
        <w:t xml:space="preserve">econd line of defence, with the necessary operational capacity, systems, and infrastructure to effectively manage and monitor the loans through their life cycle.  We will operate within protocols, underwriting guidelines, exception limits and regulatory guidelines and manage the Early Warning Report and Watch List proactively to ensure that asset quality remains satisfactory. Although we recognise that through the full economic cycle, some credit losses are inevitable, our robust underwriting standards aim to minimise them, with close monitoring of risk appetite </w:t>
      </w:r>
      <w:r w:rsidR="007B421A" w:rsidRPr="00024F76">
        <w:rPr>
          <w:szCs w:val="22"/>
        </w:rPr>
        <w:t>monthly</w:t>
      </w:r>
      <w:r w:rsidRPr="00024F76">
        <w:rPr>
          <w:szCs w:val="22"/>
        </w:rPr>
        <w:t xml:space="preserve"> via the comprehensive suite of KRIs. </w:t>
      </w:r>
      <w:r w:rsidR="006D09FB" w:rsidRPr="00024F76">
        <w:rPr>
          <w:szCs w:val="22"/>
        </w:rPr>
        <w:t>The Bank assesses and discusses all individual customer loans in arrears at the monthly Impairment and Provisions Committee chaired by the CFO.</w:t>
      </w:r>
    </w:p>
    <w:p w14:paraId="6B6D26A7" w14:textId="77777777" w:rsidR="00DC2C9B" w:rsidRPr="000C0C4A" w:rsidRDefault="00DC2C9B" w:rsidP="00C73104">
      <w:pPr>
        <w:spacing w:line="276" w:lineRule="auto"/>
        <w:ind w:left="360"/>
        <w:jc w:val="both"/>
        <w:rPr>
          <w:szCs w:val="22"/>
        </w:rPr>
      </w:pPr>
    </w:p>
    <w:p w14:paraId="6EAB940B" w14:textId="007DDC35" w:rsidR="0030723C" w:rsidRDefault="0030723C" w:rsidP="00C73104">
      <w:pPr>
        <w:spacing w:line="276" w:lineRule="auto"/>
        <w:ind w:left="360"/>
        <w:jc w:val="both"/>
        <w:rPr>
          <w:szCs w:val="22"/>
        </w:rPr>
      </w:pPr>
      <w:r w:rsidRPr="000C0C4A">
        <w:rPr>
          <w:szCs w:val="22"/>
        </w:rPr>
        <w:t>The Bank continues to assess the potential impact of climate change and the environmental factors across its loan portfolio as well as undertaking appropriate stress testing.</w:t>
      </w:r>
    </w:p>
    <w:p w14:paraId="77758231" w14:textId="721080B1" w:rsidR="00DD2307" w:rsidRDefault="00DD2307" w:rsidP="0006275C">
      <w:pPr>
        <w:jc w:val="both"/>
        <w:rPr>
          <w:szCs w:val="22"/>
        </w:rPr>
      </w:pPr>
    </w:p>
    <w:p w14:paraId="14920C14" w14:textId="77777777" w:rsidR="00DD2307" w:rsidRPr="00CF01D3" w:rsidRDefault="00DD2307" w:rsidP="00F5097F">
      <w:pPr>
        <w:pStyle w:val="ListParagraph"/>
        <w:numPr>
          <w:ilvl w:val="0"/>
          <w:numId w:val="39"/>
        </w:numPr>
        <w:jc w:val="both"/>
        <w:rPr>
          <w:color w:val="5B9BD5" w:themeColor="accent5"/>
        </w:rPr>
      </w:pPr>
      <w:r w:rsidRPr="00CF01D3">
        <w:rPr>
          <w:color w:val="5B9BD5" w:themeColor="accent5"/>
        </w:rPr>
        <w:t>Legal, Compliance &amp; Regulatory</w:t>
      </w:r>
    </w:p>
    <w:p w14:paraId="5667E9E9" w14:textId="03251160" w:rsidR="00BD0AC8" w:rsidRDefault="00DD2307" w:rsidP="00C73104">
      <w:pPr>
        <w:spacing w:line="276" w:lineRule="auto"/>
        <w:ind w:left="360"/>
        <w:jc w:val="both"/>
        <w:rPr>
          <w:szCs w:val="22"/>
        </w:rPr>
      </w:pPr>
      <w:r w:rsidRPr="00952DA4">
        <w:rPr>
          <w:szCs w:val="22"/>
        </w:rPr>
        <w:t xml:space="preserve">The risk that non-compliance with laws or regulations could give rise to fines, litigation, sanctions, reputational </w:t>
      </w:r>
      <w:r w:rsidR="001E4E1F" w:rsidRPr="00952DA4">
        <w:rPr>
          <w:szCs w:val="22"/>
        </w:rPr>
        <w:t>damage,</w:t>
      </w:r>
      <w:r w:rsidRPr="00952DA4">
        <w:rPr>
          <w:szCs w:val="22"/>
        </w:rPr>
        <w:t xml:space="preserve"> or financial loss.</w:t>
      </w:r>
      <w:r w:rsidR="00BD0AC8">
        <w:rPr>
          <w:szCs w:val="22"/>
        </w:rPr>
        <w:t xml:space="preserve"> </w:t>
      </w:r>
      <w:r w:rsidRPr="00743DDA">
        <w:rPr>
          <w:szCs w:val="22"/>
        </w:rPr>
        <w:t xml:space="preserve">The Bank maintains a low appetite for Legal, Compliance and Regulatory Risk.  </w:t>
      </w:r>
    </w:p>
    <w:p w14:paraId="7C1D7E52" w14:textId="77777777" w:rsidR="00BD0AC8" w:rsidRDefault="00BD0AC8" w:rsidP="00C73104">
      <w:pPr>
        <w:spacing w:line="276" w:lineRule="auto"/>
        <w:ind w:left="360"/>
        <w:jc w:val="both"/>
        <w:rPr>
          <w:szCs w:val="22"/>
        </w:rPr>
      </w:pPr>
    </w:p>
    <w:p w14:paraId="7E260B72" w14:textId="795AB93B" w:rsidR="00DD2307" w:rsidRDefault="00082C74" w:rsidP="002769E0">
      <w:pPr>
        <w:spacing w:line="276" w:lineRule="auto"/>
        <w:ind w:left="360"/>
        <w:jc w:val="both"/>
        <w:rPr>
          <w:szCs w:val="22"/>
        </w:rPr>
      </w:pPr>
      <w:r w:rsidRPr="002769E0">
        <w:rPr>
          <w:szCs w:val="22"/>
        </w:rPr>
        <w:t xml:space="preserve">Whilst the Bank recognises that operational errors can occur, it maintains zero tolerance for breaches of regulations, relevant legislation, late responses to regulatory requests or gifts/hospitality policy breaches.  </w:t>
      </w:r>
      <w:r w:rsidR="00DD2307" w:rsidRPr="00743DDA">
        <w:rPr>
          <w:szCs w:val="22"/>
        </w:rPr>
        <w:t xml:space="preserve">We strive to ensure that we always remain within the law and regulation.  Regulatory Changes are logged, allocated, monitored, and tracked </w:t>
      </w:r>
      <w:r w:rsidR="00E72D5B">
        <w:rPr>
          <w:szCs w:val="22"/>
        </w:rPr>
        <w:t xml:space="preserve">on a dedicated Horizon Scanning log </w:t>
      </w:r>
      <w:r w:rsidR="00DD2307" w:rsidRPr="00743DDA">
        <w:rPr>
          <w:szCs w:val="22"/>
        </w:rPr>
        <w:t>ensuring additions to or changes within regulatory requirements are proportionately applied.  All material breaches are investigated and reported to the Risk &amp; Compliance Committee in a timely manner, rule changes are implemented within the applicable regulatory timelines and staff operate within the Bank’s documented policies and controls and, where applicable, industry guidelines.</w:t>
      </w:r>
    </w:p>
    <w:p w14:paraId="4BC6B6AF" w14:textId="77777777" w:rsidR="00DD2307" w:rsidRPr="00CF01D3" w:rsidRDefault="00DD2307" w:rsidP="00F5097F">
      <w:pPr>
        <w:pStyle w:val="ListParagraph"/>
        <w:numPr>
          <w:ilvl w:val="0"/>
          <w:numId w:val="39"/>
        </w:numPr>
        <w:jc w:val="both"/>
        <w:rPr>
          <w:color w:val="5B9BD5" w:themeColor="accent5"/>
        </w:rPr>
      </w:pPr>
      <w:r w:rsidRPr="00CF01D3">
        <w:rPr>
          <w:color w:val="5B9BD5" w:themeColor="accent5"/>
        </w:rPr>
        <w:lastRenderedPageBreak/>
        <w:t>Financial crime</w:t>
      </w:r>
    </w:p>
    <w:p w14:paraId="46D35211" w14:textId="77777777" w:rsidR="00A94439" w:rsidRDefault="00DD2307" w:rsidP="00C73104">
      <w:pPr>
        <w:spacing w:line="276" w:lineRule="auto"/>
        <w:ind w:left="360"/>
        <w:jc w:val="both"/>
        <w:rPr>
          <w:szCs w:val="22"/>
        </w:rPr>
      </w:pPr>
      <w:r w:rsidRPr="000C0C4A">
        <w:rPr>
          <w:szCs w:val="22"/>
        </w:rPr>
        <w:t xml:space="preserve">The risk that inadequate controls relating to financial crime could give rise to fines, litigation, sanctions, reputational damage, or financial loss. </w:t>
      </w:r>
      <w:r w:rsidR="00A94439" w:rsidRPr="000C0C4A">
        <w:rPr>
          <w:szCs w:val="22"/>
        </w:rPr>
        <w:t>The Bank maintains a low appetite for Financial Crime risk, aiming to maintain a low level of residual risk and striving to ensure that we always remain within the law and regulation</w:t>
      </w:r>
      <w:r w:rsidR="00A94439">
        <w:rPr>
          <w:szCs w:val="22"/>
        </w:rPr>
        <w:t>.</w:t>
      </w:r>
    </w:p>
    <w:p w14:paraId="772BAAF6" w14:textId="77777777" w:rsidR="00082CF8" w:rsidRDefault="00082CF8" w:rsidP="00C73104">
      <w:pPr>
        <w:spacing w:line="276" w:lineRule="auto"/>
        <w:ind w:left="360"/>
        <w:jc w:val="both"/>
        <w:rPr>
          <w:szCs w:val="22"/>
        </w:rPr>
      </w:pPr>
    </w:p>
    <w:p w14:paraId="4AFC4A99" w14:textId="42971BB8" w:rsidR="00DD2307" w:rsidRPr="000C0C4A" w:rsidRDefault="00DD2307" w:rsidP="00C73104">
      <w:pPr>
        <w:spacing w:line="276" w:lineRule="auto"/>
        <w:ind w:left="360"/>
        <w:jc w:val="both"/>
        <w:rPr>
          <w:szCs w:val="22"/>
        </w:rPr>
      </w:pPr>
      <w:r w:rsidRPr="000C0C4A">
        <w:rPr>
          <w:szCs w:val="22"/>
        </w:rPr>
        <w:t>Whilst we recognise that operational errors can occur, we maintain zero tolerance for breaches of compliance with applicable financial crime laws and regulations, deliberate facilitation of tax evasion, bribery and facilitation payments and internal fraud. All material breaches are investigated and reported to the Risk &amp; Compliance Committee in a timely manner, rule changes are implemented within the applicable regulatory timelines and staff operate within documented policies and controls and, where applicable, industry guidelines.</w:t>
      </w:r>
    </w:p>
    <w:p w14:paraId="475B6733" w14:textId="77777777" w:rsidR="0030723C" w:rsidRDefault="0030723C" w:rsidP="0006275C">
      <w:pPr>
        <w:jc w:val="both"/>
      </w:pPr>
    </w:p>
    <w:p w14:paraId="1892FD73" w14:textId="77777777" w:rsidR="0030723C" w:rsidRPr="00CF01D3" w:rsidRDefault="0030723C" w:rsidP="00F5097F">
      <w:pPr>
        <w:pStyle w:val="ListParagraph"/>
        <w:numPr>
          <w:ilvl w:val="0"/>
          <w:numId w:val="39"/>
        </w:numPr>
        <w:jc w:val="both"/>
        <w:rPr>
          <w:color w:val="5B9BD5" w:themeColor="accent5"/>
        </w:rPr>
      </w:pPr>
      <w:r w:rsidRPr="00CF01D3">
        <w:rPr>
          <w:color w:val="5B9BD5" w:themeColor="accent5"/>
        </w:rPr>
        <w:t>Operational risk</w:t>
      </w:r>
    </w:p>
    <w:p w14:paraId="0E7B65F3" w14:textId="6BABD423" w:rsidR="00852ACC" w:rsidRDefault="00F65CC5" w:rsidP="00C73104">
      <w:pPr>
        <w:spacing w:line="276" w:lineRule="auto"/>
        <w:ind w:left="360"/>
        <w:jc w:val="both"/>
        <w:rPr>
          <w:szCs w:val="22"/>
        </w:rPr>
      </w:pPr>
      <w:r>
        <w:rPr>
          <w:szCs w:val="22"/>
        </w:rPr>
        <w:t xml:space="preserve">The </w:t>
      </w:r>
      <w:r w:rsidR="0030723C" w:rsidRPr="000C0C4A">
        <w:rPr>
          <w:szCs w:val="22"/>
        </w:rPr>
        <w:t xml:space="preserve">risk that events arising from inadequate or internal process failure, people, and systems or from external events cause regulatory censure, reputational damage, financial loss, service disruption and/or customer detriment. </w:t>
      </w:r>
      <w:r w:rsidR="00852ACC" w:rsidRPr="000C0C4A">
        <w:rPr>
          <w:szCs w:val="22"/>
        </w:rPr>
        <w:t xml:space="preserve">The Bank maintains a low appetite for Operational Risk.  </w:t>
      </w:r>
      <w:r w:rsidRPr="00FA2D4F">
        <w:rPr>
          <w:szCs w:val="22"/>
        </w:rPr>
        <w:t>Operational Resilience metrics are included within Operational Risk reporting.</w:t>
      </w:r>
    </w:p>
    <w:p w14:paraId="1B82FF9D" w14:textId="77777777" w:rsidR="00852ACC" w:rsidRDefault="00852ACC" w:rsidP="00C73104">
      <w:pPr>
        <w:spacing w:line="276" w:lineRule="auto"/>
        <w:ind w:left="360"/>
        <w:jc w:val="both"/>
        <w:rPr>
          <w:szCs w:val="22"/>
        </w:rPr>
      </w:pPr>
    </w:p>
    <w:p w14:paraId="5A11EA29" w14:textId="362B42B1" w:rsidR="0030723C" w:rsidRPr="00024F76" w:rsidRDefault="0030723C" w:rsidP="00C73104">
      <w:pPr>
        <w:spacing w:line="276" w:lineRule="auto"/>
        <w:ind w:left="360"/>
        <w:jc w:val="both"/>
        <w:rPr>
          <w:szCs w:val="22"/>
        </w:rPr>
      </w:pPr>
      <w:r w:rsidRPr="000C0C4A">
        <w:rPr>
          <w:szCs w:val="22"/>
        </w:rPr>
        <w:t xml:space="preserve">Operational Risk related losses have historically been low, the framework has been strengthened following an external review and ongoing enhancements are being undertaken to ensure that the </w:t>
      </w:r>
      <w:r w:rsidRPr="00024F76">
        <w:rPr>
          <w:szCs w:val="22"/>
        </w:rPr>
        <w:t>Bank’s Operational Risk Framework is in line with its regulatory requirements and leading practices.</w:t>
      </w:r>
      <w:r w:rsidR="00F229FD" w:rsidRPr="00024F76">
        <w:rPr>
          <w:szCs w:val="22"/>
        </w:rPr>
        <w:t xml:space="preserve"> This includes continuing to work closely with our external technology providers to ensure ongoing operational resilience.</w:t>
      </w:r>
    </w:p>
    <w:p w14:paraId="342EFA53" w14:textId="77777777" w:rsidR="0023628B" w:rsidRPr="00024F76" w:rsidRDefault="0023628B" w:rsidP="00C73104">
      <w:pPr>
        <w:spacing w:line="276" w:lineRule="auto"/>
        <w:ind w:left="360"/>
        <w:jc w:val="both"/>
        <w:rPr>
          <w:szCs w:val="22"/>
        </w:rPr>
      </w:pPr>
    </w:p>
    <w:p w14:paraId="678969ED" w14:textId="0C9EC65F" w:rsidR="00E023A8" w:rsidRPr="00024F76" w:rsidRDefault="0030723C" w:rsidP="00C73104">
      <w:pPr>
        <w:spacing w:line="276" w:lineRule="auto"/>
        <w:ind w:left="360"/>
        <w:jc w:val="both"/>
        <w:rPr>
          <w:szCs w:val="22"/>
        </w:rPr>
      </w:pPr>
      <w:r w:rsidRPr="00024F76">
        <w:rPr>
          <w:szCs w:val="22"/>
        </w:rPr>
        <w:t xml:space="preserve">We aim to minimise incidents and losses arising from operational risk issues by maintaining a resilient infrastructure, including robust systems, </w:t>
      </w:r>
      <w:proofErr w:type="gramStart"/>
      <w:r w:rsidRPr="00024F76">
        <w:rPr>
          <w:szCs w:val="22"/>
        </w:rPr>
        <w:t>employing</w:t>
      </w:r>
      <w:proofErr w:type="gramEnd"/>
      <w:r w:rsidRPr="00024F76">
        <w:rPr>
          <w:szCs w:val="22"/>
        </w:rPr>
        <w:t xml:space="preserve"> and training the right people, minimising the impact of external events, and having a framework in place to ensure operational risks are captured, monitored, and mitigated, with lessons learned.  This includes clear </w:t>
      </w:r>
      <w:r w:rsidR="00F229FD" w:rsidRPr="00024F76">
        <w:rPr>
          <w:szCs w:val="22"/>
        </w:rPr>
        <w:t>F</w:t>
      </w:r>
      <w:r w:rsidRPr="00024F76">
        <w:rPr>
          <w:szCs w:val="22"/>
        </w:rPr>
        <w:t xml:space="preserve">irst line ownership of operational risks, review, and challenge by the </w:t>
      </w:r>
      <w:r w:rsidR="00F229FD" w:rsidRPr="00024F76">
        <w:rPr>
          <w:szCs w:val="22"/>
        </w:rPr>
        <w:t>S</w:t>
      </w:r>
      <w:r w:rsidRPr="00024F76">
        <w:rPr>
          <w:szCs w:val="22"/>
        </w:rPr>
        <w:t xml:space="preserve">econd line and assurance from the </w:t>
      </w:r>
      <w:r w:rsidR="00F229FD" w:rsidRPr="00024F76">
        <w:rPr>
          <w:szCs w:val="22"/>
        </w:rPr>
        <w:t>T</w:t>
      </w:r>
      <w:r w:rsidRPr="00024F76">
        <w:rPr>
          <w:szCs w:val="22"/>
        </w:rPr>
        <w:t>hird line.</w:t>
      </w:r>
      <w:r w:rsidR="00710FED" w:rsidRPr="00024F76">
        <w:rPr>
          <w:szCs w:val="22"/>
        </w:rPr>
        <w:t xml:space="preserve"> </w:t>
      </w:r>
      <w:r w:rsidRPr="00024F76">
        <w:rPr>
          <w:szCs w:val="22"/>
        </w:rPr>
        <w:t>Focus is maintained on key risks, including outsourcing, operational resilience, people, cyber and technology risks, noting that the Bank has a lower appetite for risks associated with material outsourcing and critical non-outsourcing arrangements.  We will ensure that our systems and operational capabilities are stable and resilient, with preventative measures in place to reduce the risk of service disruptions, and effective business continuity and disaster recovery plans maintained to limit the impact of disruption events.</w:t>
      </w:r>
      <w:r w:rsidR="00F65CC5" w:rsidRPr="00024F76">
        <w:rPr>
          <w:szCs w:val="22"/>
        </w:rPr>
        <w:t xml:space="preserve"> A suite of KRIs enable escalation of issues to senior management and the Board, periodic reviews are undertaken via Risk and Control Self Assessments and Operational Risk Events are captured, recorded, reviewed, and reported on, with root cause identified, trends reviewed, and actions taken to avoid recurrence.</w:t>
      </w:r>
    </w:p>
    <w:p w14:paraId="2921C34E" w14:textId="77777777" w:rsidR="00A87854" w:rsidRPr="00024F76" w:rsidRDefault="00A87854" w:rsidP="00C73104">
      <w:pPr>
        <w:spacing w:line="276" w:lineRule="auto"/>
        <w:ind w:left="360"/>
        <w:jc w:val="both"/>
        <w:rPr>
          <w:szCs w:val="22"/>
        </w:rPr>
      </w:pPr>
    </w:p>
    <w:p w14:paraId="499FF34D" w14:textId="7F3B3CDE" w:rsidR="00A87854" w:rsidRPr="00024F76" w:rsidRDefault="000E190A" w:rsidP="00024F76">
      <w:pPr>
        <w:spacing w:line="276" w:lineRule="auto"/>
        <w:ind w:left="360"/>
        <w:jc w:val="both"/>
        <w:rPr>
          <w:szCs w:val="22"/>
        </w:rPr>
      </w:pPr>
      <w:r w:rsidRPr="00024F76">
        <w:rPr>
          <w:szCs w:val="22"/>
        </w:rPr>
        <w:t>M</w:t>
      </w:r>
      <w:r w:rsidR="00A87854" w:rsidRPr="00024F76">
        <w:rPr>
          <w:szCs w:val="22"/>
        </w:rPr>
        <w:t xml:space="preserve">aintaining Operational resilience is a key regulatory and operational requirement to ensure the Bank can prevent, respond to, recover, and learn from operational disruptions. </w:t>
      </w:r>
      <w:r w:rsidRPr="00024F76">
        <w:rPr>
          <w:szCs w:val="22"/>
        </w:rPr>
        <w:t>As several key IT services are outsourced, including the Bank’s core platform, satisfactory performance of its service providers is an ongoing part of ensuring continued Operational Resilience.</w:t>
      </w:r>
      <w:r w:rsidR="00A87854" w:rsidRPr="00024F76">
        <w:rPr>
          <w:szCs w:val="22"/>
        </w:rPr>
        <w:t xml:space="preserve"> </w:t>
      </w:r>
      <w:r w:rsidRPr="00024F76">
        <w:rPr>
          <w:szCs w:val="22"/>
        </w:rPr>
        <w:t xml:space="preserve">The Bank completes annual testing of its Important Business Services and continues to complete the required review cycle all of which is Board approved. Resiliency is also tested via IT disaster recovery, crisis management planning (both desktop &amp; simulated scenario) and business continuity. Our third party’s resiliency forms part of the Bank’s internal testing.  </w:t>
      </w:r>
    </w:p>
    <w:p w14:paraId="511C00EF" w14:textId="77777777" w:rsidR="0030723C" w:rsidRDefault="0030723C" w:rsidP="0006275C">
      <w:pPr>
        <w:jc w:val="both"/>
        <w:rPr>
          <w:rFonts w:ascii="Museo Sans 100" w:eastAsiaTheme="minorEastAsia" w:hAnsi="Museo Sans 100" w:cstheme="minorHAnsi"/>
          <w:color w:val="000000" w:themeColor="dark1"/>
          <w:kern w:val="24"/>
          <w:sz w:val="17"/>
          <w:szCs w:val="17"/>
        </w:rPr>
      </w:pPr>
    </w:p>
    <w:p w14:paraId="3A5CC424" w14:textId="77777777" w:rsidR="0030723C" w:rsidRPr="00CF01D3" w:rsidRDefault="0030723C" w:rsidP="00F5097F">
      <w:pPr>
        <w:pStyle w:val="ListParagraph"/>
        <w:numPr>
          <w:ilvl w:val="0"/>
          <w:numId w:val="39"/>
        </w:numPr>
        <w:jc w:val="both"/>
        <w:rPr>
          <w:color w:val="5B9BD5" w:themeColor="accent5"/>
        </w:rPr>
      </w:pPr>
      <w:r w:rsidRPr="00CF01D3">
        <w:rPr>
          <w:color w:val="5B9BD5" w:themeColor="accent5"/>
        </w:rPr>
        <w:t>Conduct risk</w:t>
      </w:r>
    </w:p>
    <w:p w14:paraId="7FCDE8B4" w14:textId="77777777" w:rsidR="00710FED" w:rsidRDefault="0030723C" w:rsidP="00C73104">
      <w:pPr>
        <w:spacing w:line="276" w:lineRule="auto"/>
        <w:ind w:left="360"/>
        <w:jc w:val="both"/>
        <w:rPr>
          <w:szCs w:val="22"/>
        </w:rPr>
      </w:pPr>
      <w:r w:rsidRPr="000C0C4A">
        <w:rPr>
          <w:szCs w:val="22"/>
        </w:rPr>
        <w:t xml:space="preserve">The risk that customers suffer loss or detriment due to failures at any stage of the customer journey, including inadequate product design, sales/marketing processes and operational </w:t>
      </w:r>
      <w:r w:rsidRPr="000C0C4A">
        <w:rPr>
          <w:szCs w:val="22"/>
        </w:rPr>
        <w:lastRenderedPageBreak/>
        <w:t>delivery, data management and record keeping or the failure of its staff or key providers of services, to act with integrity and treat the customers’ best interests as the highest priority.</w:t>
      </w:r>
      <w:r w:rsidR="00710FED">
        <w:rPr>
          <w:szCs w:val="22"/>
        </w:rPr>
        <w:t xml:space="preserve"> </w:t>
      </w:r>
      <w:r w:rsidRPr="000C0C4A">
        <w:rPr>
          <w:szCs w:val="22"/>
        </w:rPr>
        <w:t>The Bank maintains a low appetite for Conduct Risk</w:t>
      </w:r>
      <w:r w:rsidR="00710FED">
        <w:rPr>
          <w:szCs w:val="22"/>
        </w:rPr>
        <w:t>.</w:t>
      </w:r>
    </w:p>
    <w:p w14:paraId="598738F0" w14:textId="77777777" w:rsidR="00710FED" w:rsidRDefault="00710FED" w:rsidP="00C73104">
      <w:pPr>
        <w:spacing w:line="276" w:lineRule="auto"/>
        <w:ind w:left="360"/>
        <w:jc w:val="both"/>
        <w:rPr>
          <w:szCs w:val="22"/>
        </w:rPr>
      </w:pPr>
    </w:p>
    <w:p w14:paraId="62C9E5DC" w14:textId="3A3F9EB6" w:rsidR="0030723C" w:rsidRDefault="00210346" w:rsidP="00C73104">
      <w:pPr>
        <w:spacing w:line="276" w:lineRule="auto"/>
        <w:ind w:left="360"/>
        <w:jc w:val="both"/>
        <w:rPr>
          <w:szCs w:val="22"/>
        </w:rPr>
      </w:pPr>
      <w:r>
        <w:rPr>
          <w:szCs w:val="22"/>
        </w:rPr>
        <w:t xml:space="preserve">We </w:t>
      </w:r>
      <w:r w:rsidR="0030723C" w:rsidRPr="000C0C4A">
        <w:rPr>
          <w:szCs w:val="22"/>
        </w:rPr>
        <w:t xml:space="preserve">employ a strategy that is customer-centric, </w:t>
      </w:r>
      <w:r w:rsidR="00FA2D4F" w:rsidRPr="000C0C4A">
        <w:rPr>
          <w:szCs w:val="22"/>
        </w:rPr>
        <w:t>transparent,</w:t>
      </w:r>
      <w:r w:rsidR="0030723C" w:rsidRPr="000C0C4A">
        <w:rPr>
          <w:szCs w:val="22"/>
        </w:rPr>
        <w:t xml:space="preserve"> and built on integrity, </w:t>
      </w:r>
      <w:r w:rsidR="00C73104" w:rsidRPr="000C0C4A">
        <w:rPr>
          <w:szCs w:val="22"/>
        </w:rPr>
        <w:t>professionalism,</w:t>
      </w:r>
      <w:r w:rsidR="0030723C" w:rsidRPr="000C0C4A">
        <w:rPr>
          <w:szCs w:val="22"/>
        </w:rPr>
        <w:t xml:space="preserve"> and fairness, ensuring that all our employees understand and fully operate within </w:t>
      </w:r>
      <w:r w:rsidR="0030723C" w:rsidRPr="00024F76">
        <w:rPr>
          <w:szCs w:val="22"/>
        </w:rPr>
        <w:t>regulatory requirements (including the FCA Conduct Rules</w:t>
      </w:r>
      <w:r w:rsidR="00F229FD" w:rsidRPr="00024F76">
        <w:rPr>
          <w:szCs w:val="22"/>
        </w:rPr>
        <w:t xml:space="preserve"> and Consumer Duty requirements</w:t>
      </w:r>
      <w:r w:rsidR="0030723C" w:rsidRPr="00024F76">
        <w:rPr>
          <w:szCs w:val="22"/>
        </w:rPr>
        <w:t>)</w:t>
      </w:r>
      <w:r w:rsidR="00F65CC5" w:rsidRPr="00024F76">
        <w:rPr>
          <w:szCs w:val="22"/>
        </w:rPr>
        <w:t>.</w:t>
      </w:r>
      <w:r w:rsidR="0030723C" w:rsidRPr="00024F76">
        <w:rPr>
          <w:szCs w:val="22"/>
        </w:rPr>
        <w:t xml:space="preserve"> </w:t>
      </w:r>
      <w:r w:rsidR="00F65CC5" w:rsidRPr="00024F76">
        <w:rPr>
          <w:szCs w:val="22"/>
        </w:rPr>
        <w:t>F</w:t>
      </w:r>
      <w:r w:rsidR="0030723C" w:rsidRPr="00024F76">
        <w:rPr>
          <w:szCs w:val="22"/>
        </w:rPr>
        <w:t>urther</w:t>
      </w:r>
      <w:r w:rsidR="00F65CC5" w:rsidRPr="00024F76">
        <w:rPr>
          <w:szCs w:val="22"/>
        </w:rPr>
        <w:t>more</w:t>
      </w:r>
      <w:r w:rsidR="0030723C" w:rsidRPr="00024F76">
        <w:rPr>
          <w:szCs w:val="22"/>
        </w:rPr>
        <w:t xml:space="preserve"> the Bank’s Strategic Priorities (including ‘maintaining a culture of ‘doing the right</w:t>
      </w:r>
      <w:r w:rsidR="0030723C" w:rsidRPr="000C0C4A">
        <w:rPr>
          <w:szCs w:val="22"/>
        </w:rPr>
        <w:t xml:space="preserve"> thing’ for our customers and staff’ and ‘delivering clear and simple products’)</w:t>
      </w:r>
      <w:r w:rsidR="00F65CC5">
        <w:rPr>
          <w:szCs w:val="22"/>
        </w:rPr>
        <w:t xml:space="preserve"> </w:t>
      </w:r>
      <w:r w:rsidR="00F65CC5" w:rsidRPr="00FA2D4F">
        <w:rPr>
          <w:szCs w:val="22"/>
        </w:rPr>
        <w:t xml:space="preserve">ensure all staff take responsibility for proactively managing Conduct Risk, maintaining customer interests as the highest </w:t>
      </w:r>
      <w:r w:rsidR="00FA2D4F" w:rsidRPr="00FA2D4F">
        <w:rPr>
          <w:szCs w:val="22"/>
        </w:rPr>
        <w:t>priority</w:t>
      </w:r>
      <w:r w:rsidR="00FA2D4F" w:rsidRPr="000C0C4A">
        <w:rPr>
          <w:szCs w:val="22"/>
        </w:rPr>
        <w:t>.</w:t>
      </w:r>
      <w:r>
        <w:rPr>
          <w:szCs w:val="22"/>
        </w:rPr>
        <w:t xml:space="preserve"> </w:t>
      </w:r>
      <w:r w:rsidR="0030723C" w:rsidRPr="000C0C4A">
        <w:rPr>
          <w:szCs w:val="22"/>
        </w:rPr>
        <w:t>The Bank prides itself on its strong risk culture and focus on customer outcomes.  A Conduct Risk Framework is in place to ensure continued compliance with all requirements in this regard, including detailed reporting to the risk committees.</w:t>
      </w:r>
    </w:p>
    <w:p w14:paraId="768412F1" w14:textId="733F92D4" w:rsidR="0030723C" w:rsidRPr="006A03AA" w:rsidRDefault="0030723C" w:rsidP="0006275C">
      <w:pPr>
        <w:jc w:val="both"/>
        <w:rPr>
          <w:b/>
          <w:bCs/>
        </w:rPr>
      </w:pPr>
    </w:p>
    <w:p w14:paraId="74EF3604" w14:textId="217C5FFB" w:rsidR="00952DA4" w:rsidRPr="00CF01D3" w:rsidRDefault="00DD2307" w:rsidP="00F5097F">
      <w:pPr>
        <w:pStyle w:val="ListParagraph"/>
        <w:numPr>
          <w:ilvl w:val="0"/>
          <w:numId w:val="39"/>
        </w:numPr>
        <w:jc w:val="both"/>
        <w:rPr>
          <w:color w:val="5B9BD5" w:themeColor="accent5"/>
        </w:rPr>
      </w:pPr>
      <w:r w:rsidRPr="00CF01D3">
        <w:rPr>
          <w:color w:val="5B9BD5" w:themeColor="accent5"/>
        </w:rPr>
        <w:t>Financial models</w:t>
      </w:r>
    </w:p>
    <w:p w14:paraId="19BE5A2A" w14:textId="01F62AC9" w:rsidR="00210346" w:rsidRDefault="00C97937" w:rsidP="00C73104">
      <w:pPr>
        <w:spacing w:line="276" w:lineRule="auto"/>
        <w:ind w:left="360"/>
        <w:jc w:val="both"/>
        <w:rPr>
          <w:szCs w:val="22"/>
        </w:rPr>
      </w:pPr>
      <w:r w:rsidRPr="00F05803">
        <w:rPr>
          <w:szCs w:val="22"/>
        </w:rPr>
        <w:t xml:space="preserve">The risk that the Bank incurs financial loss </w:t>
      </w:r>
      <w:r w:rsidR="00F65CC5" w:rsidRPr="00F05803">
        <w:rPr>
          <w:szCs w:val="22"/>
        </w:rPr>
        <w:t>because of</w:t>
      </w:r>
      <w:r w:rsidRPr="00F05803">
        <w:rPr>
          <w:szCs w:val="22"/>
        </w:rPr>
        <w:t xml:space="preserve"> decisions that </w:t>
      </w:r>
      <w:r w:rsidR="007161AA">
        <w:rPr>
          <w:szCs w:val="22"/>
        </w:rPr>
        <w:t>are</w:t>
      </w:r>
      <w:r w:rsidRPr="00F05803">
        <w:rPr>
          <w:szCs w:val="22"/>
        </w:rPr>
        <w:t xml:space="preserve"> principally based on the output of (internal) models, due to errors in the development, implementation, or use of such models.</w:t>
      </w:r>
      <w:r w:rsidR="00210346">
        <w:rPr>
          <w:szCs w:val="22"/>
        </w:rPr>
        <w:t xml:space="preserve"> </w:t>
      </w:r>
      <w:r w:rsidR="00F05803" w:rsidRPr="00F05803">
        <w:rPr>
          <w:szCs w:val="22"/>
        </w:rPr>
        <w:t xml:space="preserve">The Bank maintains a low appetite for Model Risk.  </w:t>
      </w:r>
    </w:p>
    <w:p w14:paraId="2A560F31" w14:textId="77777777" w:rsidR="00210346" w:rsidRDefault="00210346" w:rsidP="00C73104">
      <w:pPr>
        <w:spacing w:line="276" w:lineRule="auto"/>
        <w:ind w:left="360"/>
        <w:jc w:val="both"/>
        <w:rPr>
          <w:szCs w:val="22"/>
        </w:rPr>
      </w:pPr>
    </w:p>
    <w:p w14:paraId="7C0A406E" w14:textId="4E7262E6" w:rsidR="00F05803" w:rsidRDefault="00F05803" w:rsidP="00C73104">
      <w:pPr>
        <w:spacing w:line="276" w:lineRule="auto"/>
        <w:ind w:left="360"/>
        <w:jc w:val="both"/>
        <w:rPr>
          <w:szCs w:val="22"/>
        </w:rPr>
      </w:pPr>
      <w:r w:rsidRPr="00F05803">
        <w:rPr>
          <w:szCs w:val="22"/>
        </w:rPr>
        <w:t xml:space="preserve">We aim to minimise incidents and losses arising from model risk issues by maintaining and operating within an appropriate governance framework, supported by a governance policy.  We have a clear definition of a model and maintain an inventory of all models within the Bank.  We adopt a proportionate risk-based approach according to the materiality of each model, with specific requirements regarding model development, independent validation, approval, implementation, monitoring and recommended enhancements and future developments.  Oversight is provided by the </w:t>
      </w:r>
      <w:r w:rsidR="007161AA">
        <w:rPr>
          <w:szCs w:val="22"/>
        </w:rPr>
        <w:t>S</w:t>
      </w:r>
      <w:r w:rsidRPr="00F05803">
        <w:rPr>
          <w:szCs w:val="22"/>
        </w:rPr>
        <w:t xml:space="preserve">econd line of </w:t>
      </w:r>
      <w:r w:rsidR="007161AA">
        <w:rPr>
          <w:szCs w:val="22"/>
        </w:rPr>
        <w:t>D</w:t>
      </w:r>
      <w:r w:rsidRPr="00F05803">
        <w:rPr>
          <w:szCs w:val="22"/>
        </w:rPr>
        <w:t xml:space="preserve">efence and the </w:t>
      </w:r>
      <w:r w:rsidR="00051377">
        <w:rPr>
          <w:szCs w:val="22"/>
        </w:rPr>
        <w:t>quarterly</w:t>
      </w:r>
      <w:r w:rsidR="00051377" w:rsidRPr="00F05803">
        <w:rPr>
          <w:szCs w:val="22"/>
        </w:rPr>
        <w:t xml:space="preserve"> </w:t>
      </w:r>
      <w:r w:rsidRPr="00F05803">
        <w:rPr>
          <w:szCs w:val="22"/>
        </w:rPr>
        <w:t>Model Risk Governance Committee.</w:t>
      </w:r>
    </w:p>
    <w:p w14:paraId="4FE8BD8C" w14:textId="2EBC8EB5" w:rsidR="00667D4E" w:rsidRDefault="00667D4E" w:rsidP="00C73104">
      <w:pPr>
        <w:spacing w:line="276" w:lineRule="auto"/>
        <w:ind w:left="360"/>
        <w:jc w:val="both"/>
        <w:rPr>
          <w:szCs w:val="22"/>
        </w:rPr>
      </w:pPr>
    </w:p>
    <w:p w14:paraId="409D4A99" w14:textId="54F5D484" w:rsidR="00667D4E" w:rsidRPr="00F66728" w:rsidRDefault="00667D4E" w:rsidP="00C73104">
      <w:pPr>
        <w:spacing w:line="276" w:lineRule="auto"/>
        <w:jc w:val="both"/>
        <w:rPr>
          <w:rFonts w:cs="Museo Sans"/>
          <w:color w:val="000000"/>
        </w:rPr>
      </w:pPr>
      <w:r w:rsidRPr="00F66728">
        <w:rPr>
          <w:rFonts w:cs="Museo Sans"/>
          <w:color w:val="000000"/>
        </w:rPr>
        <w:t xml:space="preserve">Additional disclosures on </w:t>
      </w:r>
      <w:r>
        <w:rPr>
          <w:rFonts w:cs="Museo Sans"/>
          <w:color w:val="000000"/>
        </w:rPr>
        <w:t>the risk profile and key mitigants</w:t>
      </w:r>
      <w:r w:rsidRPr="00F66728">
        <w:rPr>
          <w:rFonts w:cs="Museo Sans"/>
          <w:color w:val="000000"/>
        </w:rPr>
        <w:t xml:space="preserve"> are contained in the 202</w:t>
      </w:r>
      <w:r w:rsidR="00F65CC5">
        <w:rPr>
          <w:rFonts w:cs="Museo Sans"/>
          <w:color w:val="000000"/>
        </w:rPr>
        <w:t>3</w:t>
      </w:r>
      <w:r w:rsidRPr="00F66728">
        <w:rPr>
          <w:rFonts w:cs="Museo Sans"/>
          <w:color w:val="000000"/>
        </w:rPr>
        <w:t xml:space="preserve"> Annual Report and Financial Statements</w:t>
      </w:r>
      <w:r>
        <w:rPr>
          <w:rFonts w:cs="Museo Sans"/>
          <w:color w:val="000000"/>
        </w:rPr>
        <w:t>.</w:t>
      </w:r>
    </w:p>
    <w:p w14:paraId="63244656" w14:textId="77777777" w:rsidR="002D3FFE" w:rsidRPr="0097653B" w:rsidRDefault="002D3FFE" w:rsidP="00734134">
      <w:pPr>
        <w:pStyle w:val="Heading2"/>
      </w:pPr>
      <w:bookmarkStart w:id="52" w:name="_Hlk97022479"/>
      <w:r w:rsidRPr="0097653B">
        <w:t>Emerging Risks and Uncertainties</w:t>
      </w:r>
    </w:p>
    <w:bookmarkEnd w:id="52"/>
    <w:p w14:paraId="05CB2556" w14:textId="53DC7D8F" w:rsidR="00C33C41" w:rsidRDefault="002D3FFE" w:rsidP="0006275C">
      <w:pPr>
        <w:spacing w:line="276" w:lineRule="auto"/>
        <w:jc w:val="both"/>
        <w:rPr>
          <w:rFonts w:cs="Museo Sans"/>
          <w:color w:val="000000"/>
        </w:rPr>
      </w:pPr>
      <w:r w:rsidRPr="00474CD4">
        <w:rPr>
          <w:rFonts w:cs="Museo Sans"/>
          <w:color w:val="000000"/>
        </w:rPr>
        <w:t>On a regular basis, the Bank will reassess the key risks to which it is exposed and</w:t>
      </w:r>
      <w:r>
        <w:rPr>
          <w:rFonts w:cs="Museo Sans"/>
          <w:color w:val="000000"/>
        </w:rPr>
        <w:t xml:space="preserve"> add any which are</w:t>
      </w:r>
      <w:r w:rsidRPr="00474CD4">
        <w:rPr>
          <w:rFonts w:cs="Museo Sans"/>
          <w:color w:val="000000"/>
        </w:rPr>
        <w:t xml:space="preserve"> emerging via the environment in which it operates.  </w:t>
      </w:r>
      <w:r w:rsidR="00FF1FDC">
        <w:rPr>
          <w:rFonts w:cs="Museo Sans"/>
          <w:color w:val="000000"/>
        </w:rPr>
        <w:t>The</w:t>
      </w:r>
      <w:r w:rsidRPr="00474CD4">
        <w:rPr>
          <w:rFonts w:cs="Museo Sans"/>
          <w:color w:val="000000"/>
        </w:rPr>
        <w:t xml:space="preserve"> </w:t>
      </w:r>
      <w:r w:rsidR="00FF1FDC">
        <w:rPr>
          <w:rFonts w:cs="Museo Sans"/>
          <w:color w:val="000000"/>
        </w:rPr>
        <w:t>e</w:t>
      </w:r>
      <w:r w:rsidRPr="00474CD4">
        <w:rPr>
          <w:rFonts w:cs="Museo Sans"/>
          <w:color w:val="000000"/>
        </w:rPr>
        <w:t xml:space="preserve">merging Risks during </w:t>
      </w:r>
      <w:r w:rsidR="00FF1FDC">
        <w:rPr>
          <w:rFonts w:cs="Museo Sans"/>
          <w:color w:val="000000"/>
        </w:rPr>
        <w:t>2023</w:t>
      </w:r>
      <w:r w:rsidRPr="00474CD4">
        <w:rPr>
          <w:rFonts w:cs="Museo Sans"/>
          <w:color w:val="000000"/>
        </w:rPr>
        <w:t xml:space="preserve"> and at the time of the preparation of this document are assessed to be:</w:t>
      </w:r>
    </w:p>
    <w:tbl>
      <w:tblPr>
        <w:tblW w:w="9913" w:type="dxa"/>
        <w:tblCellMar>
          <w:left w:w="0" w:type="dxa"/>
          <w:right w:w="0" w:type="dxa"/>
        </w:tblCellMar>
        <w:tblLook w:val="0420" w:firstRow="1" w:lastRow="0" w:firstColumn="0" w:lastColumn="0" w:noHBand="0" w:noVBand="1"/>
      </w:tblPr>
      <w:tblGrid>
        <w:gridCol w:w="1530"/>
        <w:gridCol w:w="3784"/>
        <w:gridCol w:w="4599"/>
      </w:tblGrid>
      <w:tr w:rsidR="00C33C41" w:rsidRPr="00F90754" w14:paraId="6D57C064" w14:textId="77777777" w:rsidTr="003305CB">
        <w:trPr>
          <w:trHeight w:val="265"/>
          <w:tblHeader/>
        </w:trPr>
        <w:tc>
          <w:tcPr>
            <w:tcW w:w="1530"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tcPr>
          <w:p w14:paraId="51B1E1BF" w14:textId="77777777" w:rsidR="00C33C41" w:rsidRPr="00F90754" w:rsidRDefault="00C33C41" w:rsidP="003305CB">
            <w:pPr>
              <w:rPr>
                <w:rFonts w:ascii="Museo Sans 100" w:hAnsi="Museo Sans 100" w:cstheme="minorHAnsi"/>
                <w:noProof/>
                <w:sz w:val="16"/>
                <w:szCs w:val="16"/>
              </w:rPr>
            </w:pPr>
            <w:r w:rsidRPr="00F90754">
              <w:rPr>
                <w:rFonts w:ascii="Museo Sans 100" w:hAnsi="Museo Sans 100" w:cstheme="minorHAnsi"/>
                <w:b/>
                <w:bCs/>
                <w:color w:val="FFFFFF" w:themeColor="light1"/>
                <w:kern w:val="24"/>
                <w:sz w:val="16"/>
                <w:szCs w:val="16"/>
              </w:rPr>
              <w:t>Emerging Risk</w:t>
            </w:r>
          </w:p>
        </w:tc>
        <w:tc>
          <w:tcPr>
            <w:tcW w:w="3784"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tcPr>
          <w:p w14:paraId="302E30C2" w14:textId="77777777" w:rsidR="00C33C41" w:rsidRPr="00F90754" w:rsidRDefault="00C33C41" w:rsidP="003305CB">
            <w:pPr>
              <w:rPr>
                <w:rFonts w:ascii="Museo Sans 100" w:eastAsiaTheme="minorEastAsia" w:hAnsi="Museo Sans 100" w:cstheme="minorHAnsi"/>
                <w:color w:val="000000" w:themeColor="dark1"/>
                <w:kern w:val="24"/>
                <w:sz w:val="16"/>
                <w:szCs w:val="16"/>
              </w:rPr>
            </w:pPr>
            <w:r w:rsidRPr="00F90754">
              <w:rPr>
                <w:rFonts w:ascii="Museo Sans 100" w:hAnsi="Museo Sans 100" w:cstheme="minorHAnsi"/>
                <w:b/>
                <w:bCs/>
                <w:color w:val="FFFFFF" w:themeColor="light1"/>
                <w:kern w:val="24"/>
                <w:sz w:val="16"/>
                <w:szCs w:val="16"/>
              </w:rPr>
              <w:t>Definition</w:t>
            </w:r>
          </w:p>
        </w:tc>
        <w:tc>
          <w:tcPr>
            <w:tcW w:w="45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tcPr>
          <w:p w14:paraId="77114A2E" w14:textId="77777777" w:rsidR="00C33C41" w:rsidRPr="00F90754" w:rsidRDefault="00C33C41" w:rsidP="003305CB">
            <w:pPr>
              <w:rPr>
                <w:rFonts w:ascii="Museo Sans 100" w:hAnsi="Museo Sans 100" w:cstheme="minorHAnsi"/>
                <w:b/>
                <w:bCs/>
                <w:kern w:val="24"/>
                <w:sz w:val="16"/>
                <w:szCs w:val="16"/>
              </w:rPr>
            </w:pPr>
            <w:r w:rsidRPr="00F90754">
              <w:rPr>
                <w:rFonts w:ascii="Museo Sans 100" w:hAnsi="Museo Sans 100" w:cstheme="minorHAnsi"/>
                <w:b/>
                <w:bCs/>
                <w:color w:val="FFFFFF" w:themeColor="light1"/>
                <w:kern w:val="24"/>
                <w:sz w:val="16"/>
                <w:szCs w:val="16"/>
              </w:rPr>
              <w:t>The Bank’s Response</w:t>
            </w:r>
          </w:p>
        </w:tc>
      </w:tr>
      <w:tr w:rsidR="00C33C41" w:rsidRPr="00F90754" w14:paraId="25E312AD" w14:textId="77777777" w:rsidTr="003B332A">
        <w:trPr>
          <w:trHeight w:val="2104"/>
        </w:trPr>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A7CBBEE" w14:textId="77777777" w:rsidR="00C33C41" w:rsidRPr="00F90754" w:rsidRDefault="00C33C41" w:rsidP="003305CB">
            <w:pPr>
              <w:rPr>
                <w:rFonts w:ascii="Museo Sans 100" w:hAnsi="Museo Sans 100" w:cstheme="minorHAnsi"/>
                <w:b/>
                <w:bCs/>
                <w:color w:val="FF0000"/>
                <w:kern w:val="24"/>
                <w:sz w:val="16"/>
                <w:szCs w:val="16"/>
              </w:rPr>
            </w:pPr>
            <w:r w:rsidRPr="00F90754">
              <w:rPr>
                <w:rFonts w:ascii="Museo Sans 100" w:hAnsi="Museo Sans 100" w:cstheme="minorHAnsi"/>
                <w:b/>
                <w:bCs/>
                <w:color w:val="000000" w:themeColor="text1"/>
                <w:kern w:val="24"/>
                <w:sz w:val="16"/>
                <w:szCs w:val="16"/>
              </w:rPr>
              <w:t xml:space="preserve">Global macro-economic outlook </w:t>
            </w:r>
          </w:p>
        </w:tc>
        <w:tc>
          <w:tcPr>
            <w:tcW w:w="37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E42802F" w14:textId="2B0CCE80" w:rsidR="00C33C41" w:rsidRPr="003B332A" w:rsidRDefault="00FF1FDC" w:rsidP="003B332A">
            <w:pPr>
              <w:jc w:val="both"/>
              <w:rPr>
                <w:rFonts w:ascii="Museo Sans 100" w:eastAsia="Museo Sans 100" w:hAnsi="Museo Sans 100" w:cs="Museo Sans 100"/>
                <w:sz w:val="16"/>
                <w:szCs w:val="16"/>
              </w:rPr>
            </w:pPr>
            <w:r w:rsidRPr="003B332A">
              <w:rPr>
                <w:rFonts w:ascii="Museo Sans 100" w:eastAsia="Museo Sans 100" w:hAnsi="Museo Sans 100" w:cs="Museo Sans 100"/>
                <w:sz w:val="16"/>
                <w:szCs w:val="16"/>
              </w:rPr>
              <w:t>The current geopolitical events in the world, including several international conflicts and the elections in the UK and US later in 2024, continue to cause ongoing uncertainties. Additionally, these conflicts could lead to increase</w:t>
            </w:r>
            <w:r w:rsidR="0081304D">
              <w:rPr>
                <w:rFonts w:ascii="Museo Sans 100" w:eastAsia="Museo Sans 100" w:hAnsi="Museo Sans 100" w:cs="Museo Sans 100"/>
                <w:sz w:val="16"/>
                <w:szCs w:val="16"/>
              </w:rPr>
              <w:t>d</w:t>
            </w:r>
            <w:r w:rsidRPr="003B332A">
              <w:rPr>
                <w:rFonts w:ascii="Museo Sans 100" w:eastAsia="Museo Sans 100" w:hAnsi="Museo Sans 100" w:cs="Museo Sans 100"/>
                <w:sz w:val="16"/>
                <w:szCs w:val="16"/>
              </w:rPr>
              <w:t xml:space="preserve"> commodity and supply costs, as well as supply-chain disruption, which could cause additional economic headwinds for the UK economy, noting that UK interest rates remain high compared to recent times.</w:t>
            </w:r>
          </w:p>
        </w:tc>
        <w:tc>
          <w:tcPr>
            <w:tcW w:w="4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83C8C66" w14:textId="27C8FB88" w:rsidR="00C33C41" w:rsidRPr="003B332A" w:rsidRDefault="00452FEA" w:rsidP="00A1291C">
            <w:pPr>
              <w:tabs>
                <w:tab w:val="left" w:pos="1837"/>
              </w:tabs>
              <w:jc w:val="both"/>
              <w:rPr>
                <w:rFonts w:ascii="Museo Sans 100" w:hAnsi="Museo Sans 100" w:cstheme="minorHAnsi"/>
                <w:sz w:val="16"/>
                <w:szCs w:val="16"/>
              </w:rPr>
            </w:pPr>
            <w:r w:rsidRPr="003B332A">
              <w:rPr>
                <w:rFonts w:ascii="Museo Sans 100" w:eastAsia="Museo Sans 100" w:hAnsi="Museo Sans 100" w:cs="Museo Sans 100"/>
                <w:sz w:val="16"/>
                <w:szCs w:val="16"/>
              </w:rPr>
              <w:t>The Bank monitors a range of current and forward-looking measures covering all risk types (primarily operational, conduct, strategic, and credit).  These are reviewed by management and oversight forums on an ongoing basis, and appropriate responsive action undertaken.  In mitigation to more severe scenarios, documented arrangements are in place for each of the Bank’s Important Business Services, and for each business area, identifying key points of failure and management’s contingency arrangements.</w:t>
            </w:r>
          </w:p>
        </w:tc>
      </w:tr>
      <w:tr w:rsidR="00C33C41" w:rsidRPr="00F90754" w14:paraId="31CD1A4F" w14:textId="77777777" w:rsidTr="003305CB">
        <w:trPr>
          <w:trHeight w:val="1740"/>
        </w:trPr>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35046B9" w14:textId="7ACEA189" w:rsidR="00C33C41" w:rsidRPr="00F90754" w:rsidRDefault="00C33C41" w:rsidP="003305CB">
            <w:pPr>
              <w:rPr>
                <w:rFonts w:ascii="Museo Sans 100" w:hAnsi="Museo Sans 100" w:cstheme="minorHAnsi"/>
                <w:b/>
                <w:bCs/>
                <w:color w:val="000000" w:themeColor="dark1"/>
                <w:kern w:val="24"/>
                <w:sz w:val="16"/>
                <w:szCs w:val="16"/>
              </w:rPr>
            </w:pPr>
            <w:r w:rsidRPr="00F90754">
              <w:rPr>
                <w:rFonts w:ascii="Museo Sans 100" w:hAnsi="Museo Sans 100" w:cstheme="minorHAnsi"/>
                <w:b/>
                <w:bCs/>
                <w:color w:val="000000" w:themeColor="dark1"/>
                <w:kern w:val="24"/>
                <w:sz w:val="16"/>
                <w:szCs w:val="16"/>
              </w:rPr>
              <w:lastRenderedPageBreak/>
              <w:t xml:space="preserve">UK </w:t>
            </w:r>
            <w:r w:rsidR="0081304D">
              <w:rPr>
                <w:rFonts w:ascii="Museo Sans 100" w:hAnsi="Museo Sans 100" w:cstheme="minorHAnsi"/>
                <w:b/>
                <w:bCs/>
                <w:color w:val="000000" w:themeColor="dark1"/>
                <w:kern w:val="24"/>
                <w:sz w:val="16"/>
                <w:szCs w:val="16"/>
              </w:rPr>
              <w:t>m</w:t>
            </w:r>
            <w:r w:rsidRPr="00F90754">
              <w:rPr>
                <w:rFonts w:ascii="Museo Sans 100" w:hAnsi="Museo Sans 100" w:cstheme="minorHAnsi"/>
                <w:b/>
                <w:bCs/>
                <w:color w:val="000000" w:themeColor="dark1"/>
                <w:kern w:val="24"/>
                <w:sz w:val="16"/>
                <w:szCs w:val="16"/>
              </w:rPr>
              <w:t>acro-</w:t>
            </w:r>
            <w:r w:rsidR="0081304D">
              <w:rPr>
                <w:rFonts w:ascii="Museo Sans 100" w:hAnsi="Museo Sans 100" w:cstheme="minorHAnsi"/>
                <w:b/>
                <w:bCs/>
                <w:color w:val="000000" w:themeColor="dark1"/>
                <w:kern w:val="24"/>
                <w:sz w:val="16"/>
                <w:szCs w:val="16"/>
              </w:rPr>
              <w:t>e</w:t>
            </w:r>
            <w:r w:rsidRPr="00F90754">
              <w:rPr>
                <w:rFonts w:ascii="Museo Sans 100" w:hAnsi="Museo Sans 100" w:cstheme="minorHAnsi"/>
                <w:b/>
                <w:bCs/>
                <w:color w:val="000000" w:themeColor="dark1"/>
                <w:kern w:val="24"/>
                <w:sz w:val="16"/>
                <w:szCs w:val="16"/>
              </w:rPr>
              <w:t>conomic Risk</w:t>
            </w:r>
          </w:p>
        </w:tc>
        <w:tc>
          <w:tcPr>
            <w:tcW w:w="37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430D39B" w14:textId="6ACA7F69" w:rsidR="00C33C41" w:rsidRPr="003B332A" w:rsidRDefault="003B332A" w:rsidP="003B332A">
            <w:pPr>
              <w:jc w:val="both"/>
              <w:rPr>
                <w:rFonts w:ascii="Museo Sans 100" w:eastAsiaTheme="minorEastAsia" w:hAnsi="Museo Sans 100" w:cstheme="minorHAnsi"/>
                <w:color w:val="000000" w:themeColor="dark1"/>
                <w:kern w:val="24"/>
                <w:sz w:val="16"/>
                <w:szCs w:val="16"/>
              </w:rPr>
            </w:pPr>
            <w:r w:rsidRPr="003B332A">
              <w:rPr>
                <w:rFonts w:ascii="Museo Sans 100" w:eastAsia="Museo Sans 100" w:hAnsi="Museo Sans 100" w:cs="Museo Sans 100"/>
                <w:sz w:val="16"/>
                <w:szCs w:val="16"/>
              </w:rPr>
              <w:t>The geopolitical events and other economic challenges, such as cost of living/inflationary pressures, continued higher interest rates and reduced levels of investment continue.  There remains some risk of ongoing economic uncertainties, impacting the Bank and its customer base, resulting in the potential for the Bank being unable to achieve its business targets – both growth as well as increased credit risk, as borrowers see increased debt servicing costs.</w:t>
            </w:r>
          </w:p>
        </w:tc>
        <w:tc>
          <w:tcPr>
            <w:tcW w:w="4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FD10B13" w14:textId="36329F78" w:rsidR="003B332A" w:rsidRPr="00024F76" w:rsidRDefault="00C33C41" w:rsidP="003B332A">
            <w:pPr>
              <w:spacing w:line="257" w:lineRule="auto"/>
              <w:jc w:val="both"/>
              <w:rPr>
                <w:rFonts w:ascii="Museo Sans 100" w:eastAsia="Museo Sans 100" w:hAnsi="Museo Sans 100" w:cs="Museo Sans 100"/>
                <w:sz w:val="18"/>
                <w:szCs w:val="18"/>
              </w:rPr>
            </w:pPr>
            <w:r w:rsidRPr="00CF2FB0">
              <w:rPr>
                <w:rFonts w:ascii="Museo Sans 100" w:eastAsiaTheme="minorEastAsia" w:hAnsi="Museo Sans 100" w:cstheme="minorHAnsi"/>
                <w:color w:val="000000" w:themeColor="dark1"/>
                <w:kern w:val="24"/>
                <w:sz w:val="16"/>
                <w:szCs w:val="16"/>
              </w:rPr>
              <w:t xml:space="preserve">Macroeconomic risk is considered as part of the Strategic Planning process and monitored via reporting to Board and </w:t>
            </w:r>
            <w:r w:rsidR="0081304D">
              <w:rPr>
                <w:rFonts w:ascii="Museo Sans 100" w:eastAsiaTheme="minorEastAsia" w:hAnsi="Museo Sans 100" w:cstheme="minorHAnsi"/>
                <w:color w:val="000000" w:themeColor="dark1"/>
                <w:kern w:val="24"/>
                <w:sz w:val="16"/>
                <w:szCs w:val="16"/>
              </w:rPr>
              <w:t>E</w:t>
            </w:r>
            <w:r w:rsidRPr="00CF2FB0">
              <w:rPr>
                <w:rFonts w:ascii="Museo Sans 100" w:eastAsiaTheme="minorEastAsia" w:hAnsi="Museo Sans 100" w:cstheme="minorHAnsi"/>
                <w:color w:val="000000" w:themeColor="dark1"/>
                <w:kern w:val="24"/>
                <w:sz w:val="16"/>
                <w:szCs w:val="16"/>
              </w:rPr>
              <w:t>xecutive level committees.</w:t>
            </w:r>
            <w:r w:rsidR="003B332A">
              <w:rPr>
                <w:rFonts w:ascii="Museo Sans 100" w:eastAsiaTheme="minorEastAsia" w:hAnsi="Museo Sans 100" w:cstheme="minorHAnsi"/>
                <w:color w:val="000000" w:themeColor="dark1"/>
                <w:kern w:val="24"/>
                <w:sz w:val="16"/>
                <w:szCs w:val="16"/>
              </w:rPr>
              <w:t xml:space="preserve"> </w:t>
            </w:r>
            <w:r w:rsidR="003B332A" w:rsidRPr="003B332A">
              <w:rPr>
                <w:rFonts w:ascii="Museo Sans 100" w:eastAsiaTheme="minorEastAsia" w:hAnsi="Museo Sans 100" w:cstheme="minorHAnsi"/>
                <w:color w:val="000000" w:themeColor="dark1"/>
                <w:kern w:val="24"/>
                <w:sz w:val="16"/>
                <w:szCs w:val="16"/>
              </w:rPr>
              <w:t>The Bank continues to support its customers and develop its lending policy to ensure it remains appropriate to changing circumstances. The Bank has recently joined the Lending Standards Board.</w:t>
            </w:r>
          </w:p>
          <w:p w14:paraId="0032A413" w14:textId="71A2BD47" w:rsidR="00C33C41" w:rsidRPr="00F90754" w:rsidRDefault="00C33C41" w:rsidP="003305CB">
            <w:pPr>
              <w:rPr>
                <w:rFonts w:ascii="Museo Sans 100" w:eastAsiaTheme="minorEastAsia" w:hAnsi="Museo Sans 100" w:cstheme="minorHAnsi"/>
                <w:color w:val="000000" w:themeColor="dark1"/>
                <w:kern w:val="24"/>
                <w:sz w:val="16"/>
                <w:szCs w:val="16"/>
              </w:rPr>
            </w:pPr>
          </w:p>
        </w:tc>
      </w:tr>
      <w:tr w:rsidR="00C33C41" w:rsidRPr="00F90754" w14:paraId="415E0B02" w14:textId="77777777" w:rsidTr="003305CB">
        <w:trPr>
          <w:trHeight w:val="1121"/>
        </w:trPr>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4772564" w14:textId="57791CC4" w:rsidR="00C33C41" w:rsidRPr="00F90754" w:rsidRDefault="0081304D" w:rsidP="003305CB">
            <w:pPr>
              <w:rPr>
                <w:rFonts w:ascii="Museo Sans 100" w:hAnsi="Museo Sans 100" w:cstheme="minorHAnsi"/>
                <w:b/>
                <w:bCs/>
                <w:color w:val="000000" w:themeColor="dark1"/>
                <w:kern w:val="24"/>
                <w:sz w:val="16"/>
                <w:szCs w:val="16"/>
              </w:rPr>
            </w:pPr>
            <w:r>
              <w:rPr>
                <w:rFonts w:ascii="Museo Sans 100" w:hAnsi="Museo Sans 100" w:cstheme="minorHAnsi"/>
                <w:b/>
                <w:bCs/>
                <w:color w:val="000000" w:themeColor="dark1"/>
                <w:kern w:val="24"/>
                <w:sz w:val="16"/>
                <w:szCs w:val="16"/>
              </w:rPr>
              <w:t>Delivery</w:t>
            </w:r>
            <w:r w:rsidR="00C33C41" w:rsidRPr="00F90754">
              <w:rPr>
                <w:rFonts w:ascii="Museo Sans 100" w:hAnsi="Museo Sans 100" w:cstheme="minorHAnsi"/>
                <w:b/>
                <w:bCs/>
                <w:color w:val="000000" w:themeColor="dark1"/>
                <w:kern w:val="24"/>
                <w:sz w:val="16"/>
                <w:szCs w:val="16"/>
              </w:rPr>
              <w:t xml:space="preserve"> of the 202</w:t>
            </w:r>
            <w:r w:rsidR="00452FEA">
              <w:rPr>
                <w:rFonts w:ascii="Museo Sans 100" w:hAnsi="Museo Sans 100" w:cstheme="minorHAnsi"/>
                <w:b/>
                <w:bCs/>
                <w:color w:val="000000" w:themeColor="dark1"/>
                <w:kern w:val="24"/>
                <w:sz w:val="16"/>
                <w:szCs w:val="16"/>
              </w:rPr>
              <w:t>4</w:t>
            </w:r>
            <w:r w:rsidR="00C33C41" w:rsidRPr="00F90754">
              <w:rPr>
                <w:rFonts w:ascii="Museo Sans 100" w:hAnsi="Museo Sans 100" w:cstheme="minorHAnsi"/>
                <w:b/>
                <w:bCs/>
                <w:color w:val="000000" w:themeColor="dark1"/>
                <w:kern w:val="24"/>
                <w:sz w:val="16"/>
                <w:szCs w:val="16"/>
              </w:rPr>
              <w:t>+ Growth Plan</w:t>
            </w:r>
          </w:p>
        </w:tc>
        <w:tc>
          <w:tcPr>
            <w:tcW w:w="37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9E22348" w14:textId="77777777" w:rsidR="00C33C41" w:rsidRPr="00F90754" w:rsidRDefault="00C33C41" w:rsidP="00867D5F">
            <w:pPr>
              <w:jc w:val="both"/>
              <w:rPr>
                <w:rFonts w:ascii="Museo Sans 100" w:eastAsiaTheme="minorEastAsia" w:hAnsi="Museo Sans 100" w:cstheme="minorHAnsi"/>
                <w:color w:val="000000" w:themeColor="dark1"/>
                <w:kern w:val="24"/>
                <w:sz w:val="16"/>
                <w:szCs w:val="16"/>
              </w:rPr>
            </w:pPr>
            <w:r w:rsidRPr="00F90754">
              <w:rPr>
                <w:rFonts w:ascii="Museo Sans 100" w:eastAsiaTheme="minorEastAsia" w:hAnsi="Museo Sans 100" w:cstheme="minorHAnsi"/>
                <w:color w:val="000000" w:themeColor="dark1"/>
                <w:kern w:val="24"/>
                <w:sz w:val="16"/>
                <w:szCs w:val="16"/>
              </w:rPr>
              <w:t>The risk that pursuing the business growth targets outlined in the most recent Strategic Plan will bring additional operational pressures and create increased risk, either Credit Risk or Operational/Fulfilment Risk.</w:t>
            </w:r>
          </w:p>
        </w:tc>
        <w:tc>
          <w:tcPr>
            <w:tcW w:w="4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3702C3D" w14:textId="4F1C9FA0" w:rsidR="00C33C41" w:rsidRPr="003B332A" w:rsidRDefault="003B332A" w:rsidP="003B332A">
            <w:pPr>
              <w:jc w:val="both"/>
              <w:rPr>
                <w:rFonts w:ascii="Museo Sans 100" w:eastAsiaTheme="minorEastAsia" w:hAnsi="Museo Sans 100" w:cstheme="minorHAnsi"/>
                <w:color w:val="000000" w:themeColor="dark1"/>
                <w:kern w:val="24"/>
                <w:sz w:val="16"/>
                <w:szCs w:val="16"/>
              </w:rPr>
            </w:pPr>
            <w:r w:rsidRPr="003B332A">
              <w:rPr>
                <w:rFonts w:ascii="Museo Sans 100" w:eastAsia="Museo Sans 100" w:hAnsi="Museo Sans 100" w:cs="Museo Sans 100"/>
                <w:sz w:val="16"/>
                <w:szCs w:val="16"/>
              </w:rPr>
              <w:t>The Bank made significant investment in process capability during 2023 and continues to monitor external events to ensure its credit policy remains appropriate. Regular reporting of Key Risk Indicators is provided to both management and the Board, to ensure it remains within Risk Appetite using its Risk Management Framework. Significant resource is dedicated to operational management and oversight. Resource planning helps the Bank ensure it recruits sufficient resources/skills to manage the risk and quarterly reforecasting is undertaken.</w:t>
            </w:r>
          </w:p>
        </w:tc>
      </w:tr>
      <w:tr w:rsidR="00C33C41" w:rsidRPr="00F90754" w14:paraId="03A1BAC6" w14:textId="77777777" w:rsidTr="003305CB">
        <w:trPr>
          <w:trHeight w:val="1127"/>
        </w:trPr>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FD92650" w14:textId="77777777" w:rsidR="00C33C41" w:rsidRPr="00F90754" w:rsidRDefault="00C33C41" w:rsidP="003305CB">
            <w:pPr>
              <w:rPr>
                <w:rFonts w:ascii="Museo Sans 100" w:hAnsi="Museo Sans 100" w:cstheme="minorHAnsi"/>
                <w:b/>
                <w:bCs/>
                <w:color w:val="000000" w:themeColor="dark1"/>
                <w:kern w:val="24"/>
                <w:sz w:val="16"/>
                <w:szCs w:val="16"/>
              </w:rPr>
            </w:pPr>
            <w:r w:rsidRPr="00F90754">
              <w:rPr>
                <w:rFonts w:ascii="Museo Sans 100" w:hAnsi="Museo Sans 100" w:cstheme="minorHAnsi"/>
                <w:b/>
                <w:bCs/>
                <w:color w:val="000000" w:themeColor="dark1"/>
                <w:kern w:val="24"/>
                <w:sz w:val="16"/>
                <w:szCs w:val="16"/>
              </w:rPr>
              <w:t>Climate Change</w:t>
            </w:r>
          </w:p>
          <w:p w14:paraId="589FBC0E" w14:textId="77777777" w:rsidR="00C33C41" w:rsidRPr="00F90754" w:rsidRDefault="00C33C41" w:rsidP="003305CB">
            <w:pPr>
              <w:rPr>
                <w:rFonts w:ascii="Museo Sans 100" w:hAnsi="Museo Sans 100" w:cstheme="minorHAnsi"/>
                <w:sz w:val="16"/>
                <w:szCs w:val="16"/>
              </w:rPr>
            </w:pPr>
          </w:p>
        </w:tc>
        <w:tc>
          <w:tcPr>
            <w:tcW w:w="37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2FE3BA2" w14:textId="1549021A" w:rsidR="00C33C41" w:rsidRPr="00F90754" w:rsidRDefault="00C33C41" w:rsidP="00867D5F">
            <w:pPr>
              <w:jc w:val="both"/>
              <w:rPr>
                <w:rFonts w:ascii="Museo Sans 100" w:eastAsiaTheme="minorEastAsia" w:hAnsi="Museo Sans 100" w:cstheme="minorHAnsi"/>
                <w:color w:val="000000" w:themeColor="dark1"/>
                <w:kern w:val="24"/>
                <w:sz w:val="16"/>
                <w:szCs w:val="16"/>
              </w:rPr>
            </w:pPr>
            <w:r w:rsidRPr="00F90754">
              <w:rPr>
                <w:rFonts w:ascii="Museo Sans 100" w:eastAsiaTheme="minorEastAsia" w:hAnsi="Museo Sans 100" w:cstheme="minorHAnsi"/>
                <w:color w:val="000000" w:themeColor="dark1"/>
                <w:kern w:val="24"/>
                <w:sz w:val="16"/>
                <w:szCs w:val="16"/>
              </w:rPr>
              <w:t xml:space="preserve">Climate Change is a growing risk and ongoing consideration needs to be given to the longer-term impacts, particularly in relation to the loan portfolio.  If left unchecked, it could lead to a medium/long term risk to the credit quality of the book because of extreme climate events such as flood risk and poor preparedness and lack of attention given to this risk by the property industry (which continues to tolerate low EPC grades) and impact on the Asset Finance and Classic </w:t>
            </w:r>
            <w:r w:rsidR="00051377">
              <w:rPr>
                <w:rFonts w:ascii="Museo Sans 100" w:eastAsiaTheme="minorEastAsia" w:hAnsi="Museo Sans 100" w:cstheme="minorHAnsi"/>
                <w:color w:val="000000" w:themeColor="dark1"/>
                <w:kern w:val="24"/>
                <w:sz w:val="16"/>
                <w:szCs w:val="16"/>
              </w:rPr>
              <w:t>Vintage</w:t>
            </w:r>
            <w:r w:rsidR="00051377" w:rsidRPr="00F90754">
              <w:rPr>
                <w:rFonts w:ascii="Museo Sans 100" w:eastAsiaTheme="minorEastAsia" w:hAnsi="Museo Sans 100" w:cstheme="minorHAnsi"/>
                <w:color w:val="000000" w:themeColor="dark1"/>
                <w:kern w:val="24"/>
                <w:sz w:val="16"/>
                <w:szCs w:val="16"/>
              </w:rPr>
              <w:t xml:space="preserve"> </w:t>
            </w:r>
            <w:r w:rsidRPr="00F90754">
              <w:rPr>
                <w:rFonts w:ascii="Museo Sans 100" w:eastAsiaTheme="minorEastAsia" w:hAnsi="Museo Sans 100" w:cstheme="minorHAnsi"/>
                <w:color w:val="000000" w:themeColor="dark1"/>
                <w:kern w:val="24"/>
                <w:sz w:val="16"/>
                <w:szCs w:val="16"/>
              </w:rPr>
              <w:t xml:space="preserve">and Sports </w:t>
            </w:r>
            <w:r w:rsidR="00051377">
              <w:rPr>
                <w:rFonts w:ascii="Museo Sans 100" w:eastAsiaTheme="minorEastAsia" w:hAnsi="Museo Sans 100" w:cstheme="minorHAnsi"/>
                <w:color w:val="000000" w:themeColor="dark1"/>
                <w:kern w:val="24"/>
                <w:sz w:val="16"/>
                <w:szCs w:val="16"/>
              </w:rPr>
              <w:t xml:space="preserve">car </w:t>
            </w:r>
            <w:r w:rsidRPr="00F90754">
              <w:rPr>
                <w:rFonts w:ascii="Museo Sans 100" w:eastAsiaTheme="minorEastAsia" w:hAnsi="Museo Sans 100" w:cstheme="minorHAnsi"/>
                <w:color w:val="000000" w:themeColor="dark1"/>
                <w:kern w:val="24"/>
                <w:sz w:val="16"/>
                <w:szCs w:val="16"/>
              </w:rPr>
              <w:t xml:space="preserve">loan (CV&amp;S) books.  Both physical and transitional risks are being factored into Risk Appetite, Key Risk Indicators, </w:t>
            </w:r>
            <w:r w:rsidR="00452FEA" w:rsidRPr="002D2194">
              <w:rPr>
                <w:rFonts w:ascii="Museo Sans 100" w:eastAsia="Museo Sans 100" w:hAnsi="Museo Sans 100" w:cs="Museo Sans 100"/>
                <w:sz w:val="18"/>
                <w:szCs w:val="18"/>
              </w:rPr>
              <w:t>and broader lending activity</w:t>
            </w:r>
            <w:r w:rsidR="00452FEA">
              <w:rPr>
                <w:rFonts w:ascii="Museo Sans 100" w:eastAsia="Museo Sans 100" w:hAnsi="Museo Sans 100" w:cs="Museo Sans 100"/>
                <w:sz w:val="18"/>
                <w:szCs w:val="18"/>
              </w:rPr>
              <w:t>.</w:t>
            </w:r>
          </w:p>
        </w:tc>
        <w:tc>
          <w:tcPr>
            <w:tcW w:w="4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E426175" w14:textId="77777777" w:rsidR="00C33C41" w:rsidRPr="00F90754" w:rsidRDefault="00C33C41" w:rsidP="00867D5F">
            <w:pPr>
              <w:jc w:val="both"/>
              <w:rPr>
                <w:rFonts w:ascii="Museo Sans 100" w:eastAsiaTheme="minorEastAsia" w:hAnsi="Museo Sans 100" w:cstheme="minorHAnsi"/>
                <w:color w:val="000000" w:themeColor="dark1"/>
                <w:kern w:val="24"/>
                <w:sz w:val="16"/>
                <w:szCs w:val="16"/>
              </w:rPr>
            </w:pPr>
            <w:r w:rsidRPr="00F90754">
              <w:rPr>
                <w:rFonts w:ascii="Museo Sans 100" w:eastAsiaTheme="minorEastAsia" w:hAnsi="Museo Sans 100" w:cstheme="minorHAnsi"/>
                <w:color w:val="000000" w:themeColor="dark1"/>
                <w:kern w:val="24"/>
                <w:sz w:val="16"/>
                <w:szCs w:val="16"/>
              </w:rPr>
              <w:t>This is a topic that the Bank takes very seriously and has conducted a detailed report in response to the PRA’s Climate Change Requirements and plans for firms to manage these risks.  The Environmental, Social &amp; Governance (ESG) Steering Committee, chaired by the Banks General Counsel and supported by the Chief Risk Officer, continues to develop the Bank’s action plans, in addition to working with external bodies, such as UK Finance, to assess sector preparedness, planning and actions to ensure the Bank’s initiatives remain appropriate and relevant.  Regular progress reports are provided to key stakeholders, including the Board.</w:t>
            </w:r>
          </w:p>
        </w:tc>
      </w:tr>
      <w:tr w:rsidR="00C33C41" w:rsidRPr="00F90754" w14:paraId="26606910" w14:textId="77777777" w:rsidTr="003305CB">
        <w:trPr>
          <w:trHeight w:val="1085"/>
        </w:trPr>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1B0AD0E" w14:textId="77777777" w:rsidR="00C33C41" w:rsidRPr="00F90754" w:rsidRDefault="00C33C41" w:rsidP="003305CB">
            <w:pPr>
              <w:rPr>
                <w:rFonts w:ascii="Museo Sans 100" w:hAnsi="Museo Sans 100" w:cstheme="minorHAnsi"/>
                <w:b/>
                <w:bCs/>
                <w:color w:val="000000" w:themeColor="dark1"/>
                <w:kern w:val="24"/>
                <w:sz w:val="16"/>
                <w:szCs w:val="16"/>
              </w:rPr>
            </w:pPr>
            <w:r w:rsidRPr="00F90754">
              <w:rPr>
                <w:rFonts w:ascii="Museo Sans 100" w:hAnsi="Museo Sans 100" w:cstheme="minorHAnsi"/>
                <w:b/>
                <w:bCs/>
                <w:kern w:val="24"/>
                <w:sz w:val="16"/>
                <w:szCs w:val="16"/>
              </w:rPr>
              <w:t>Cyber Threat</w:t>
            </w:r>
          </w:p>
        </w:tc>
        <w:tc>
          <w:tcPr>
            <w:tcW w:w="37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1EBBFA3" w14:textId="0B91AECA" w:rsidR="00C33C41" w:rsidRPr="00F90754" w:rsidRDefault="00C33C41" w:rsidP="009A6547">
            <w:pPr>
              <w:jc w:val="both"/>
              <w:rPr>
                <w:rFonts w:ascii="Museo Sans 100" w:eastAsiaTheme="minorEastAsia" w:hAnsi="Museo Sans 100" w:cstheme="minorHAnsi"/>
                <w:kern w:val="24"/>
                <w:sz w:val="16"/>
                <w:szCs w:val="16"/>
              </w:rPr>
            </w:pPr>
            <w:r w:rsidRPr="00F90754">
              <w:rPr>
                <w:rFonts w:ascii="Museo Sans 100" w:eastAsiaTheme="minorEastAsia" w:hAnsi="Museo Sans 100" w:cstheme="minorHAnsi"/>
                <w:kern w:val="24"/>
                <w:sz w:val="16"/>
                <w:szCs w:val="16"/>
              </w:rPr>
              <w:t>The nature of cyber</w:t>
            </w:r>
            <w:r w:rsidR="00067F9B">
              <w:rPr>
                <w:rFonts w:ascii="Museo Sans 100" w:eastAsiaTheme="minorEastAsia" w:hAnsi="Museo Sans 100" w:cstheme="minorHAnsi"/>
                <w:kern w:val="24"/>
                <w:sz w:val="16"/>
                <w:szCs w:val="16"/>
              </w:rPr>
              <w:t xml:space="preserve"> </w:t>
            </w:r>
            <w:r w:rsidRPr="00F90754">
              <w:rPr>
                <w:rFonts w:ascii="Museo Sans 100" w:eastAsiaTheme="minorEastAsia" w:hAnsi="Museo Sans 100" w:cstheme="minorHAnsi"/>
                <w:kern w:val="24"/>
                <w:sz w:val="16"/>
                <w:szCs w:val="16"/>
              </w:rPr>
              <w:t>attacks across the industry continues to change with the use of more sophisticated unseen malware methods, as well as increase</w:t>
            </w:r>
            <w:r w:rsidR="0081304D">
              <w:rPr>
                <w:rFonts w:ascii="Museo Sans 100" w:eastAsiaTheme="minorEastAsia" w:hAnsi="Museo Sans 100" w:cstheme="minorHAnsi"/>
                <w:kern w:val="24"/>
                <w:sz w:val="16"/>
                <w:szCs w:val="16"/>
              </w:rPr>
              <w:t>d</w:t>
            </w:r>
            <w:r w:rsidRPr="00F90754">
              <w:rPr>
                <w:rFonts w:ascii="Museo Sans 100" w:eastAsiaTheme="minorEastAsia" w:hAnsi="Museo Sans 100" w:cstheme="minorHAnsi"/>
                <w:kern w:val="24"/>
                <w:sz w:val="16"/>
                <w:szCs w:val="16"/>
              </w:rPr>
              <w:t xml:space="preserve"> volume</w:t>
            </w:r>
            <w:r w:rsidR="0081304D">
              <w:rPr>
                <w:rFonts w:ascii="Museo Sans 100" w:eastAsiaTheme="minorEastAsia" w:hAnsi="Museo Sans 100" w:cstheme="minorHAnsi"/>
                <w:kern w:val="24"/>
                <w:sz w:val="16"/>
                <w:szCs w:val="16"/>
              </w:rPr>
              <w:t>s</w:t>
            </w:r>
            <w:r w:rsidRPr="00F90754">
              <w:rPr>
                <w:rFonts w:ascii="Museo Sans 100" w:eastAsiaTheme="minorEastAsia" w:hAnsi="Museo Sans 100" w:cstheme="minorHAnsi"/>
                <w:kern w:val="24"/>
                <w:sz w:val="16"/>
                <w:szCs w:val="16"/>
              </w:rPr>
              <w:t xml:space="preserve">.  </w:t>
            </w:r>
          </w:p>
          <w:p w14:paraId="0C23A9FC" w14:textId="77777777" w:rsidR="00C33C41" w:rsidRPr="00F90754" w:rsidRDefault="00C33C41" w:rsidP="009A6547">
            <w:pPr>
              <w:jc w:val="both"/>
              <w:rPr>
                <w:rFonts w:ascii="Museo Sans 100" w:eastAsiaTheme="minorEastAsia" w:hAnsi="Museo Sans 100" w:cstheme="minorHAnsi"/>
                <w:color w:val="000000" w:themeColor="dark1"/>
                <w:kern w:val="24"/>
                <w:sz w:val="16"/>
                <w:szCs w:val="16"/>
              </w:rPr>
            </w:pPr>
            <w:r w:rsidRPr="00F90754">
              <w:rPr>
                <w:rFonts w:ascii="Museo Sans 100" w:eastAsiaTheme="minorEastAsia" w:hAnsi="Museo Sans 100" w:cstheme="minorHAnsi"/>
                <w:kern w:val="24"/>
                <w:sz w:val="16"/>
                <w:szCs w:val="16"/>
              </w:rPr>
              <w:t xml:space="preserve">CCB’s operations are inherently reliant upon its technology infrastructure, and the performance of third-party technology firms to maintain cyber security defences.  </w:t>
            </w:r>
          </w:p>
        </w:tc>
        <w:tc>
          <w:tcPr>
            <w:tcW w:w="4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F3CCCE3" w14:textId="0E6D4478" w:rsidR="00C33C41" w:rsidRPr="009A6547" w:rsidRDefault="00C33C41" w:rsidP="009A6547">
            <w:pPr>
              <w:jc w:val="both"/>
              <w:rPr>
                <w:rFonts w:ascii="Museo Sans 100" w:eastAsiaTheme="minorEastAsia" w:hAnsi="Museo Sans 100" w:cstheme="minorHAnsi"/>
                <w:kern w:val="24"/>
                <w:sz w:val="16"/>
                <w:szCs w:val="16"/>
              </w:rPr>
            </w:pPr>
            <w:r w:rsidRPr="009A6547">
              <w:rPr>
                <w:rFonts w:ascii="Museo Sans 100" w:eastAsiaTheme="minorEastAsia" w:hAnsi="Museo Sans 100" w:cstheme="minorHAnsi"/>
                <w:kern w:val="24"/>
                <w:sz w:val="16"/>
                <w:szCs w:val="16"/>
              </w:rPr>
              <w:t>CCB’s technology infrastructure is UK based and has a very small externally facing footprint</w:t>
            </w:r>
            <w:r w:rsidR="0081304D">
              <w:rPr>
                <w:rFonts w:ascii="Museo Sans 100" w:eastAsiaTheme="minorEastAsia" w:hAnsi="Museo Sans 100" w:cstheme="minorHAnsi"/>
                <w:kern w:val="24"/>
                <w:sz w:val="16"/>
                <w:szCs w:val="16"/>
              </w:rPr>
              <w:t>.  T</w:t>
            </w:r>
            <w:r w:rsidRPr="009A6547">
              <w:rPr>
                <w:rFonts w:ascii="Museo Sans 100" w:eastAsiaTheme="minorEastAsia" w:hAnsi="Museo Sans 100" w:cstheme="minorHAnsi"/>
                <w:kern w:val="24"/>
                <w:sz w:val="16"/>
                <w:szCs w:val="16"/>
              </w:rPr>
              <w:t xml:space="preserve">he Bank’s websites are outside its perimeter, </w:t>
            </w:r>
            <w:r w:rsidR="007B421A" w:rsidRPr="009A6547">
              <w:rPr>
                <w:rFonts w:ascii="Museo Sans 100" w:eastAsiaTheme="minorEastAsia" w:hAnsi="Museo Sans 100" w:cstheme="minorHAnsi"/>
                <w:kern w:val="24"/>
                <w:sz w:val="16"/>
                <w:szCs w:val="16"/>
              </w:rPr>
              <w:t>reducing</w:t>
            </w:r>
            <w:r w:rsidRPr="009A6547">
              <w:rPr>
                <w:rFonts w:ascii="Museo Sans 100" w:eastAsiaTheme="minorEastAsia" w:hAnsi="Museo Sans 100" w:cstheme="minorHAnsi"/>
                <w:kern w:val="24"/>
                <w:sz w:val="16"/>
                <w:szCs w:val="16"/>
              </w:rPr>
              <w:t xml:space="preserve"> the inherent exposure.  Furthermore, the Bank profile, suppliers, and customer-base does not make it an obvious target for state-sponsored hackers</w:t>
            </w:r>
            <w:r w:rsidR="00452FEA" w:rsidRPr="009A6547">
              <w:rPr>
                <w:rFonts w:ascii="Museo Sans 100" w:eastAsiaTheme="minorEastAsia" w:hAnsi="Museo Sans 100" w:cstheme="minorHAnsi"/>
                <w:kern w:val="24"/>
                <w:sz w:val="16"/>
                <w:szCs w:val="16"/>
              </w:rPr>
              <w:t xml:space="preserve"> and other hackers.</w:t>
            </w:r>
          </w:p>
          <w:p w14:paraId="6A8CFDF9" w14:textId="77777777" w:rsidR="00C33C41" w:rsidRPr="009A6547" w:rsidRDefault="00C33C41" w:rsidP="009A6547">
            <w:pPr>
              <w:jc w:val="both"/>
              <w:rPr>
                <w:rFonts w:ascii="Museo Sans 100" w:eastAsiaTheme="minorEastAsia" w:hAnsi="Museo Sans 100" w:cstheme="minorHAnsi"/>
                <w:kern w:val="24"/>
                <w:sz w:val="16"/>
                <w:szCs w:val="16"/>
              </w:rPr>
            </w:pPr>
            <w:r w:rsidRPr="009A6547">
              <w:rPr>
                <w:rFonts w:ascii="Museo Sans 100" w:eastAsiaTheme="minorEastAsia" w:hAnsi="Museo Sans 100" w:cstheme="minorHAnsi"/>
                <w:kern w:val="24"/>
                <w:sz w:val="16"/>
                <w:szCs w:val="16"/>
              </w:rPr>
              <w:t>The Bank’s technology perimeter has been reviewed without issue, and patching timescales are as aggressive as possible.  Technology arrangements have been reviewed against the NCSC guidance, and no deficiencies or areas for improvement were identified.</w:t>
            </w:r>
          </w:p>
          <w:p w14:paraId="74FCEEC1" w14:textId="5EC38437" w:rsidR="00C33C41" w:rsidRPr="00FA2D4F" w:rsidRDefault="00C33C41" w:rsidP="009A6547">
            <w:pPr>
              <w:jc w:val="both"/>
              <w:rPr>
                <w:rFonts w:ascii="Museo Sans 100" w:eastAsiaTheme="minorEastAsia" w:hAnsi="Museo Sans 100" w:cstheme="minorHAnsi"/>
                <w:kern w:val="24"/>
                <w:sz w:val="16"/>
                <w:szCs w:val="16"/>
              </w:rPr>
            </w:pPr>
            <w:r w:rsidRPr="009A6547">
              <w:rPr>
                <w:rFonts w:ascii="Museo Sans 100" w:eastAsiaTheme="minorEastAsia" w:hAnsi="Museo Sans 100" w:cstheme="minorHAnsi"/>
                <w:color w:val="000000" w:themeColor="dark1"/>
                <w:kern w:val="24"/>
                <w:sz w:val="16"/>
                <w:szCs w:val="16"/>
              </w:rPr>
              <w:t xml:space="preserve">A Cyber Strategy and linked programme of focused work, including obtaining a NIST Level 3 status, has begun and will continue throughout 2023 which includes strengthening both Board and colleagues understanding and ownership of </w:t>
            </w:r>
            <w:r w:rsidR="0081304D">
              <w:rPr>
                <w:rFonts w:ascii="Museo Sans 100" w:eastAsiaTheme="minorEastAsia" w:hAnsi="Museo Sans 100" w:cstheme="minorHAnsi"/>
                <w:color w:val="000000" w:themeColor="dark1"/>
                <w:kern w:val="24"/>
                <w:sz w:val="16"/>
                <w:szCs w:val="16"/>
              </w:rPr>
              <w:t>c</w:t>
            </w:r>
            <w:r w:rsidRPr="009A6547">
              <w:rPr>
                <w:rFonts w:ascii="Museo Sans 100" w:eastAsiaTheme="minorEastAsia" w:hAnsi="Museo Sans 100" w:cstheme="minorHAnsi"/>
                <w:color w:val="000000" w:themeColor="dark1"/>
                <w:kern w:val="24"/>
                <w:sz w:val="16"/>
                <w:szCs w:val="16"/>
              </w:rPr>
              <w:t>yber risk and the actions they need to take.</w:t>
            </w:r>
            <w:r w:rsidR="00452FEA" w:rsidRPr="009A6547">
              <w:rPr>
                <w:rFonts w:ascii="Museo Sans 100" w:eastAsiaTheme="minorEastAsia" w:hAnsi="Museo Sans 100" w:cstheme="minorHAnsi"/>
                <w:color w:val="000000" w:themeColor="dark1"/>
                <w:kern w:val="24"/>
                <w:sz w:val="16"/>
                <w:szCs w:val="16"/>
              </w:rPr>
              <w:t xml:space="preserve"> </w:t>
            </w:r>
            <w:r w:rsidR="00452FEA" w:rsidRPr="009A6547">
              <w:rPr>
                <w:rFonts w:ascii="Museo Sans 100" w:eastAsia="Museo Sans 100" w:hAnsi="Museo Sans 100" w:cs="Museo Sans 100"/>
                <w:sz w:val="16"/>
                <w:szCs w:val="16"/>
              </w:rPr>
              <w:t xml:space="preserve">Board and Executive </w:t>
            </w:r>
            <w:r w:rsidR="0081304D">
              <w:rPr>
                <w:rFonts w:ascii="Museo Sans 100" w:eastAsia="Museo Sans 100" w:hAnsi="Museo Sans 100" w:cs="Museo Sans 100"/>
                <w:sz w:val="16"/>
                <w:szCs w:val="16"/>
              </w:rPr>
              <w:t>c</w:t>
            </w:r>
            <w:r w:rsidR="00452FEA" w:rsidRPr="009A6547">
              <w:rPr>
                <w:rFonts w:ascii="Museo Sans 100" w:eastAsia="Museo Sans 100" w:hAnsi="Museo Sans 100" w:cs="Museo Sans 100"/>
                <w:sz w:val="16"/>
                <w:szCs w:val="16"/>
              </w:rPr>
              <w:t xml:space="preserve">yber and </w:t>
            </w:r>
            <w:r w:rsidR="0081304D">
              <w:rPr>
                <w:rFonts w:ascii="Museo Sans 100" w:eastAsia="Museo Sans 100" w:hAnsi="Museo Sans 100" w:cs="Museo Sans 100"/>
                <w:sz w:val="16"/>
                <w:szCs w:val="16"/>
              </w:rPr>
              <w:t>i</w:t>
            </w:r>
            <w:r w:rsidR="00452FEA" w:rsidRPr="009A6547">
              <w:rPr>
                <w:rFonts w:ascii="Museo Sans 100" w:eastAsia="Museo Sans 100" w:hAnsi="Museo Sans 100" w:cs="Museo Sans 100"/>
                <w:sz w:val="16"/>
                <w:szCs w:val="16"/>
              </w:rPr>
              <w:t xml:space="preserve">nformation </w:t>
            </w:r>
            <w:r w:rsidR="0081304D">
              <w:rPr>
                <w:rFonts w:ascii="Museo Sans 100" w:eastAsia="Museo Sans 100" w:hAnsi="Museo Sans 100" w:cs="Museo Sans 100"/>
                <w:sz w:val="16"/>
                <w:szCs w:val="16"/>
              </w:rPr>
              <w:t>s</w:t>
            </w:r>
            <w:r w:rsidR="0081304D" w:rsidRPr="009A6547">
              <w:rPr>
                <w:rFonts w:ascii="Museo Sans 100" w:eastAsia="Museo Sans 100" w:hAnsi="Museo Sans 100" w:cs="Museo Sans 100"/>
                <w:sz w:val="16"/>
                <w:szCs w:val="16"/>
              </w:rPr>
              <w:t>ecurity-based</w:t>
            </w:r>
            <w:r w:rsidR="00452FEA" w:rsidRPr="009A6547">
              <w:rPr>
                <w:rFonts w:ascii="Museo Sans 100" w:eastAsia="Museo Sans 100" w:hAnsi="Museo Sans 100" w:cs="Museo Sans 100"/>
                <w:sz w:val="16"/>
                <w:szCs w:val="16"/>
              </w:rPr>
              <w:t xml:space="preserve"> training has been provided in 2023.</w:t>
            </w:r>
          </w:p>
        </w:tc>
      </w:tr>
      <w:tr w:rsidR="00C33C41" w:rsidRPr="00F90754" w14:paraId="1F0B313E" w14:textId="77777777" w:rsidTr="003305CB">
        <w:trPr>
          <w:trHeight w:val="1085"/>
        </w:trPr>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BAB4388" w14:textId="77777777" w:rsidR="00C33C41" w:rsidRPr="00F90754" w:rsidRDefault="00C33C41" w:rsidP="003305CB">
            <w:pPr>
              <w:rPr>
                <w:rFonts w:ascii="Museo Sans 100" w:hAnsi="Museo Sans 100" w:cstheme="minorHAnsi"/>
                <w:b/>
                <w:bCs/>
                <w:kern w:val="24"/>
                <w:sz w:val="16"/>
                <w:szCs w:val="16"/>
              </w:rPr>
            </w:pPr>
            <w:r w:rsidRPr="00F90754">
              <w:rPr>
                <w:rFonts w:ascii="Museo Sans 100" w:hAnsi="Museo Sans 100" w:cstheme="minorHAnsi"/>
                <w:b/>
                <w:bCs/>
                <w:kern w:val="24"/>
                <w:sz w:val="16"/>
                <w:szCs w:val="16"/>
              </w:rPr>
              <w:t>Legal, Compliance &amp; Regulatory.</w:t>
            </w:r>
          </w:p>
        </w:tc>
        <w:tc>
          <w:tcPr>
            <w:tcW w:w="37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44AA580" w14:textId="63332C51" w:rsidR="00C33C41" w:rsidRPr="009A6547" w:rsidRDefault="009A6547" w:rsidP="009A6547">
            <w:pPr>
              <w:jc w:val="both"/>
              <w:rPr>
                <w:rFonts w:ascii="Museo Sans 100" w:eastAsiaTheme="minorEastAsia" w:hAnsi="Museo Sans 100" w:cstheme="minorHAnsi"/>
                <w:kern w:val="24"/>
                <w:sz w:val="16"/>
                <w:szCs w:val="16"/>
              </w:rPr>
            </w:pPr>
            <w:r w:rsidRPr="009A6547">
              <w:rPr>
                <w:rFonts w:ascii="Museo Sans 100" w:eastAsia="Museo Sans 100" w:hAnsi="Museo Sans 100" w:cs="Museo Sans 100"/>
                <w:sz w:val="16"/>
                <w:szCs w:val="16"/>
              </w:rPr>
              <w:t>The UK has an extensive regulatory environment which applies to all UK firms. Proposed regulation relating to a Strong and Simple Regime along with Basel 3.1, is expected to have an impact on the Bank, including its capital holding requirements.</w:t>
            </w:r>
          </w:p>
        </w:tc>
        <w:tc>
          <w:tcPr>
            <w:tcW w:w="4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EBC0B52" w14:textId="2ED6828E" w:rsidR="00C33C41" w:rsidRPr="009A6547" w:rsidRDefault="009A6547" w:rsidP="009A6547">
            <w:pPr>
              <w:jc w:val="both"/>
              <w:rPr>
                <w:rFonts w:ascii="Museo Sans 100" w:eastAsiaTheme="minorEastAsia" w:hAnsi="Museo Sans 100" w:cstheme="minorHAnsi"/>
                <w:kern w:val="24"/>
                <w:sz w:val="16"/>
                <w:szCs w:val="16"/>
              </w:rPr>
            </w:pPr>
            <w:r w:rsidRPr="00024F76">
              <w:rPr>
                <w:rFonts w:ascii="Museo Sans 100" w:eastAsia="Museo Sans 100" w:hAnsi="Museo Sans 100" w:cs="Museo Sans 100"/>
                <w:sz w:val="16"/>
                <w:szCs w:val="16"/>
              </w:rPr>
              <w:t>The Bank has a dedicated Compliance, Prudential Risk and Legal Function along with a dedicated horizon scanning process which monitors regulations to help inform management of any changes. The Bank also engages with the relevant trade bodies and other industry professionals to help ensure that it meets its legal and regulatory requirements. Where appropriate, management also contribute to various regulatory consultations, as part of a wider industry response to proposed regulatory changes.</w:t>
            </w:r>
          </w:p>
        </w:tc>
      </w:tr>
    </w:tbl>
    <w:p w14:paraId="6091BAA3" w14:textId="77777777" w:rsidR="00C33C41" w:rsidRDefault="00C33C41" w:rsidP="0006275C">
      <w:pPr>
        <w:spacing w:line="276" w:lineRule="auto"/>
        <w:jc w:val="both"/>
        <w:rPr>
          <w:rFonts w:cs="Museo Sans"/>
          <w:color w:val="000000"/>
        </w:rPr>
      </w:pPr>
    </w:p>
    <w:p w14:paraId="47F60CBD" w14:textId="3ECF26A9" w:rsidR="002D3FFE" w:rsidRPr="00536A2B" w:rsidRDefault="004D3320" w:rsidP="002C7E97">
      <w:pPr>
        <w:spacing w:line="276" w:lineRule="auto"/>
        <w:jc w:val="both"/>
        <w:rPr>
          <w:rFonts w:ascii="Museo Sans 100" w:hAnsi="Museo Sans 100" w:cstheme="minorBidi"/>
          <w:szCs w:val="22"/>
          <w:lang w:val="en-US" w:eastAsia="en-US"/>
        </w:rPr>
      </w:pPr>
      <w:r>
        <w:rPr>
          <w:rFonts w:cs="Museo Sans"/>
          <w:color w:val="000000"/>
        </w:rPr>
        <w:t>The Bank does not consider settlement risk, group risk, pension risk and wrong way risk as applicable to its business model and operations.</w:t>
      </w:r>
      <w:r>
        <w:rPr>
          <w:rFonts w:ascii="Museo Sans 100" w:hAnsi="Museo Sans 100" w:cstheme="minorBidi"/>
          <w:szCs w:val="22"/>
          <w:lang w:val="en-US" w:eastAsia="en-US"/>
        </w:rPr>
        <w:t xml:space="preserve"> </w:t>
      </w:r>
      <w:r w:rsidR="00835F78">
        <w:rPr>
          <w:rFonts w:ascii="Museo Sans 100" w:hAnsi="Museo Sans 100" w:cstheme="minorBidi"/>
          <w:szCs w:val="22"/>
          <w:lang w:val="en-US" w:eastAsia="en-US"/>
        </w:rPr>
        <w:t xml:space="preserve"> </w:t>
      </w:r>
      <w:r w:rsidR="00F66728" w:rsidRPr="00F66728">
        <w:rPr>
          <w:rFonts w:cs="Museo Sans"/>
          <w:color w:val="000000"/>
        </w:rPr>
        <w:t>Additional</w:t>
      </w:r>
      <w:r w:rsidR="00F3302B" w:rsidRPr="00F66728">
        <w:rPr>
          <w:rFonts w:cs="Museo Sans"/>
          <w:color w:val="000000"/>
        </w:rPr>
        <w:t xml:space="preserve"> disclosures on Risk management and </w:t>
      </w:r>
      <w:r w:rsidR="0094234F">
        <w:rPr>
          <w:rFonts w:cs="Museo Sans"/>
          <w:color w:val="000000"/>
        </w:rPr>
        <w:t xml:space="preserve">the </w:t>
      </w:r>
      <w:r w:rsidR="00F3302B" w:rsidRPr="00F66728">
        <w:rPr>
          <w:rFonts w:cs="Museo Sans"/>
          <w:color w:val="000000"/>
        </w:rPr>
        <w:t xml:space="preserve">framework are </w:t>
      </w:r>
      <w:r w:rsidR="0094234F">
        <w:rPr>
          <w:rFonts w:cs="Museo Sans"/>
          <w:color w:val="000000"/>
        </w:rPr>
        <w:t xml:space="preserve">included </w:t>
      </w:r>
      <w:r w:rsidR="00F3302B" w:rsidRPr="00F66728">
        <w:rPr>
          <w:rFonts w:cs="Museo Sans"/>
          <w:color w:val="000000"/>
        </w:rPr>
        <w:t>in the</w:t>
      </w:r>
      <w:r w:rsidR="00F66728" w:rsidRPr="00F66728">
        <w:rPr>
          <w:rFonts w:cs="Museo Sans"/>
          <w:color w:val="000000"/>
        </w:rPr>
        <w:t xml:space="preserve"> </w:t>
      </w:r>
      <w:r w:rsidR="00F3302B" w:rsidRPr="00F66728">
        <w:rPr>
          <w:rFonts w:cs="Museo Sans"/>
          <w:color w:val="000000"/>
        </w:rPr>
        <w:t>202</w:t>
      </w:r>
      <w:r w:rsidR="00C73104">
        <w:rPr>
          <w:rFonts w:cs="Museo Sans"/>
          <w:color w:val="000000"/>
        </w:rPr>
        <w:t>3</w:t>
      </w:r>
      <w:r w:rsidR="00F3302B" w:rsidRPr="00F66728">
        <w:rPr>
          <w:rFonts w:cs="Museo Sans"/>
          <w:color w:val="000000"/>
        </w:rPr>
        <w:t xml:space="preserve"> Annual Report and Financial </w:t>
      </w:r>
      <w:r w:rsidR="00F66728" w:rsidRPr="00F66728">
        <w:rPr>
          <w:rFonts w:cs="Museo Sans"/>
          <w:color w:val="000000"/>
        </w:rPr>
        <w:t>Statements</w:t>
      </w:r>
      <w:r w:rsidR="00835F78">
        <w:rPr>
          <w:rFonts w:ascii="Museo Sans 100" w:hAnsi="Museo Sans 100" w:cstheme="minorBidi"/>
          <w:szCs w:val="22"/>
          <w:lang w:val="en-US" w:eastAsia="en-US"/>
        </w:rPr>
        <w:t>.</w:t>
      </w:r>
    </w:p>
    <w:p w14:paraId="7D166F15" w14:textId="77777777" w:rsidR="004518FE" w:rsidRPr="00A80EA6" w:rsidRDefault="004518FE" w:rsidP="00877E68">
      <w:pPr>
        <w:pStyle w:val="Heading1"/>
        <w:numPr>
          <w:ilvl w:val="0"/>
          <w:numId w:val="25"/>
        </w:numPr>
        <w:jc w:val="both"/>
        <w:rPr>
          <w:color w:val="5B9BD5"/>
        </w:rPr>
      </w:pPr>
      <w:bookmarkStart w:id="53" w:name="_Toc357688433"/>
      <w:bookmarkStart w:id="54" w:name="_Toc357688436"/>
      <w:bookmarkStart w:id="55" w:name="_Toc448910898"/>
      <w:bookmarkStart w:id="56" w:name="_Toc448912290"/>
      <w:bookmarkStart w:id="57" w:name="_Toc453142543"/>
      <w:bookmarkStart w:id="58" w:name="_Toc475435276"/>
      <w:bookmarkStart w:id="59" w:name="_Toc166676701"/>
      <w:bookmarkEnd w:id="53"/>
      <w:r w:rsidRPr="00A80EA6">
        <w:rPr>
          <w:color w:val="5B9BD5"/>
        </w:rPr>
        <w:lastRenderedPageBreak/>
        <w:t>Capital Resources</w:t>
      </w:r>
      <w:bookmarkEnd w:id="59"/>
    </w:p>
    <w:p w14:paraId="60B06A12" w14:textId="77777777" w:rsidR="004518FE" w:rsidRPr="00A80EA6" w:rsidRDefault="004518FE" w:rsidP="00734134">
      <w:pPr>
        <w:pStyle w:val="Heading2"/>
      </w:pPr>
      <w:r w:rsidRPr="00A80EA6">
        <w:t>Available Capital Resources</w:t>
      </w:r>
    </w:p>
    <w:p w14:paraId="6AE20EAD" w14:textId="2EBD71A6" w:rsidR="004518FE" w:rsidRDefault="004518FE" w:rsidP="001D171B">
      <w:pPr>
        <w:pStyle w:val="ACText"/>
        <w:spacing w:line="276" w:lineRule="auto"/>
        <w:rPr>
          <w:rFonts w:ascii="Museo Sans 300" w:hAnsi="Museo Sans 300"/>
        </w:rPr>
      </w:pPr>
      <w:r>
        <w:rPr>
          <w:rFonts w:ascii="Museo Sans 300" w:hAnsi="Museo Sans 300"/>
        </w:rPr>
        <w:t xml:space="preserve">CCB manages its capital requirements in accordance with the PRA Rulebook for CRR firms. </w:t>
      </w:r>
      <w:r w:rsidRPr="00D86C2F">
        <w:rPr>
          <w:rFonts w:ascii="Museo Sans 300" w:hAnsi="Museo Sans 300"/>
        </w:rPr>
        <w:t>The Bank’s policy is to maintain a strong capital base to maintain investor and market confidence and to sustain the future development of the business</w:t>
      </w:r>
      <w:r>
        <w:rPr>
          <w:rFonts w:ascii="Museo Sans 300" w:hAnsi="Museo Sans 300"/>
        </w:rPr>
        <w:t>.  T</w:t>
      </w:r>
      <w:r w:rsidRPr="00D86C2F">
        <w:rPr>
          <w:rFonts w:ascii="Museo Sans 300" w:hAnsi="Museo Sans 300"/>
        </w:rPr>
        <w:t>hroughout the period to 31 December 20</w:t>
      </w:r>
      <w:r>
        <w:rPr>
          <w:rFonts w:ascii="Museo Sans 300" w:hAnsi="Museo Sans 300"/>
        </w:rPr>
        <w:t>2</w:t>
      </w:r>
      <w:r w:rsidR="00220A30">
        <w:rPr>
          <w:rFonts w:ascii="Museo Sans 300" w:hAnsi="Museo Sans 300"/>
        </w:rPr>
        <w:t>3</w:t>
      </w:r>
      <w:r w:rsidRPr="00D86C2F">
        <w:rPr>
          <w:rFonts w:ascii="Museo Sans 300" w:hAnsi="Museo Sans 300"/>
        </w:rPr>
        <w:t>, the Bank maintained its capital resources at a level above the minimum capital adequacy requirements.</w:t>
      </w:r>
      <w:r>
        <w:rPr>
          <w:rFonts w:ascii="Museo Sans 300" w:hAnsi="Museo Sans 300"/>
        </w:rPr>
        <w:t xml:space="preserve"> </w:t>
      </w:r>
    </w:p>
    <w:p w14:paraId="7D59F064" w14:textId="77777777" w:rsidR="004518FE" w:rsidRDefault="004518FE" w:rsidP="001D171B">
      <w:pPr>
        <w:pStyle w:val="ACText"/>
        <w:spacing w:line="276" w:lineRule="auto"/>
        <w:rPr>
          <w:rFonts w:ascii="Museo Sans 300" w:hAnsi="Museo Sans 300"/>
        </w:rPr>
      </w:pPr>
      <w:r w:rsidRPr="00D86C2F">
        <w:rPr>
          <w:rFonts w:ascii="Museo Sans 300" w:hAnsi="Museo Sans 300"/>
        </w:rPr>
        <w:t>The Board manages its capital levels for both current and future activities and documents its risk appetite and capital requirements during stress scenarios as part of the ICAAP. The Bank presents regular reports on the current and forecast level of capital to the Executive Committee, ALCO, Risk &amp; Compliance Committee and to the Board.</w:t>
      </w:r>
    </w:p>
    <w:p w14:paraId="7E681BBE" w14:textId="5E703BFF" w:rsidR="004518FE" w:rsidRPr="00D86C2F" w:rsidRDefault="004518FE" w:rsidP="001D171B">
      <w:pPr>
        <w:pStyle w:val="ACText"/>
        <w:spacing w:line="276" w:lineRule="auto"/>
        <w:rPr>
          <w:rFonts w:ascii="Museo Sans 300" w:hAnsi="Museo Sans 300"/>
        </w:rPr>
      </w:pPr>
      <w:r w:rsidRPr="00D86C2F">
        <w:rPr>
          <w:rFonts w:ascii="Museo Sans 300" w:hAnsi="Museo Sans 300"/>
        </w:rPr>
        <w:t xml:space="preserve">The Bank has elected to use the </w:t>
      </w:r>
      <w:r w:rsidR="000E190A">
        <w:rPr>
          <w:rFonts w:ascii="Museo Sans 300" w:hAnsi="Museo Sans 300"/>
        </w:rPr>
        <w:t>S</w:t>
      </w:r>
      <w:r w:rsidRPr="00D86C2F">
        <w:rPr>
          <w:rFonts w:ascii="Museo Sans 300" w:hAnsi="Museo Sans 300"/>
        </w:rPr>
        <w:t xml:space="preserve">tandardised </w:t>
      </w:r>
      <w:r w:rsidR="000E190A">
        <w:rPr>
          <w:rFonts w:ascii="Museo Sans 300" w:hAnsi="Museo Sans 300"/>
        </w:rPr>
        <w:t>A</w:t>
      </w:r>
      <w:r w:rsidRPr="00D86C2F">
        <w:rPr>
          <w:rFonts w:ascii="Museo Sans 300" w:hAnsi="Museo Sans 300"/>
        </w:rPr>
        <w:t xml:space="preserve">pproach for credit risk and the </w:t>
      </w:r>
      <w:r w:rsidR="000E190A">
        <w:rPr>
          <w:rFonts w:ascii="Museo Sans 300" w:hAnsi="Museo Sans 300"/>
        </w:rPr>
        <w:t>B</w:t>
      </w:r>
      <w:r w:rsidRPr="00D86C2F">
        <w:rPr>
          <w:rFonts w:ascii="Museo Sans 300" w:hAnsi="Museo Sans 300"/>
        </w:rPr>
        <w:t xml:space="preserve">asic </w:t>
      </w:r>
      <w:r w:rsidR="000E190A">
        <w:rPr>
          <w:rFonts w:ascii="Museo Sans 300" w:hAnsi="Museo Sans 300"/>
        </w:rPr>
        <w:t>I</w:t>
      </w:r>
      <w:r w:rsidR="00DF1844">
        <w:rPr>
          <w:rFonts w:ascii="Museo Sans 300" w:hAnsi="Museo Sans 300"/>
        </w:rPr>
        <w:t xml:space="preserve">ndicator </w:t>
      </w:r>
      <w:r w:rsidR="000E190A">
        <w:rPr>
          <w:rFonts w:ascii="Museo Sans 300" w:hAnsi="Museo Sans 300"/>
        </w:rPr>
        <w:t>A</w:t>
      </w:r>
      <w:r w:rsidRPr="00D86C2F">
        <w:rPr>
          <w:rFonts w:ascii="Museo Sans 300" w:hAnsi="Museo Sans 300"/>
        </w:rPr>
        <w:t xml:space="preserve">pproach to operational risk.  The Bank is not exposed to Market Risk.  </w:t>
      </w:r>
    </w:p>
    <w:p w14:paraId="7AFD4C1E" w14:textId="73F84709" w:rsidR="004518FE" w:rsidRDefault="004518FE" w:rsidP="001D171B">
      <w:pPr>
        <w:pStyle w:val="ACText"/>
        <w:spacing w:after="240" w:line="276" w:lineRule="auto"/>
        <w:rPr>
          <w:rFonts w:ascii="Museo Sans 300" w:hAnsi="Museo Sans 300"/>
        </w:rPr>
      </w:pPr>
      <w:r w:rsidRPr="00D86C2F">
        <w:rPr>
          <w:rFonts w:ascii="Museo Sans 300" w:hAnsi="Museo Sans 300"/>
        </w:rPr>
        <w:t xml:space="preserve">Under </w:t>
      </w:r>
      <w:r>
        <w:rPr>
          <w:rFonts w:ascii="Museo Sans 300" w:hAnsi="Museo Sans 300"/>
        </w:rPr>
        <w:t>PRA Rulebook</w:t>
      </w:r>
      <w:r w:rsidRPr="00D86C2F">
        <w:rPr>
          <w:rFonts w:ascii="Museo Sans 300" w:hAnsi="Museo Sans 300"/>
        </w:rPr>
        <w:t xml:space="preserve">, the Bank must set aside capital equal to 8% of its total risk weighted assets to cover its ‘Pillar 1’ capital requirements. The Bank must also set aside ‘Pillar 2’ capital to provide for additional risks. The ICAAP is the Bank’s internal assessment of its Pillar 2 capital requirements, which the PRA reviews and advises its expectations of the level of Pillar 2 capital to be held. </w:t>
      </w:r>
      <w:r>
        <w:rPr>
          <w:rFonts w:ascii="Museo Sans 300" w:hAnsi="Museo Sans 300"/>
        </w:rPr>
        <w:t xml:space="preserve"> The PRA will set Pillar 2A requirements for risks not captured under Pillar 1 capital requirements and it will set Pillar 2B requirements to meet potential shortfalls in capital that may occur in the future due to severe stress scenarios like economic downturns. Pillar 1 and Pillar 2A </w:t>
      </w:r>
      <w:r w:rsidRPr="00D86C2F">
        <w:rPr>
          <w:rFonts w:ascii="Museo Sans 300" w:hAnsi="Museo Sans 300"/>
        </w:rPr>
        <w:t>requirement</w:t>
      </w:r>
      <w:r>
        <w:rPr>
          <w:rFonts w:ascii="Museo Sans 300" w:hAnsi="Museo Sans 300"/>
        </w:rPr>
        <w:t>s</w:t>
      </w:r>
      <w:r w:rsidRPr="00D86C2F">
        <w:rPr>
          <w:rFonts w:ascii="Museo Sans 300" w:hAnsi="Museo Sans 300"/>
        </w:rPr>
        <w:t xml:space="preserve"> </w:t>
      </w:r>
      <w:r>
        <w:rPr>
          <w:rFonts w:ascii="Museo Sans 300" w:hAnsi="Museo Sans 300"/>
        </w:rPr>
        <w:t>are</w:t>
      </w:r>
      <w:r w:rsidRPr="00D86C2F">
        <w:rPr>
          <w:rFonts w:ascii="Museo Sans 300" w:hAnsi="Museo Sans 300"/>
        </w:rPr>
        <w:t xml:space="preserve"> referred to as the Bank’s Total Capital Requirement (TCR). </w:t>
      </w:r>
      <w:r>
        <w:rPr>
          <w:rFonts w:ascii="Museo Sans 300" w:hAnsi="Museo Sans 300"/>
        </w:rPr>
        <w:t xml:space="preserve">CCB </w:t>
      </w:r>
      <w:r w:rsidRPr="00D86C2F">
        <w:rPr>
          <w:rFonts w:ascii="Museo Sans 300" w:hAnsi="Museo Sans 300"/>
        </w:rPr>
        <w:t xml:space="preserve">maintains its capital base </w:t>
      </w:r>
      <w:proofErr w:type="gramStart"/>
      <w:r w:rsidRPr="00D86C2F">
        <w:rPr>
          <w:rFonts w:ascii="Museo Sans 300" w:hAnsi="Museo Sans 300"/>
        </w:rPr>
        <w:t>in excess of</w:t>
      </w:r>
      <w:proofErr w:type="gramEnd"/>
      <w:r w:rsidRPr="00D86C2F">
        <w:rPr>
          <w:rFonts w:ascii="Museo Sans 300" w:hAnsi="Museo Sans 300"/>
        </w:rPr>
        <w:t xml:space="preserve"> its TCR </w:t>
      </w:r>
      <w:r>
        <w:rPr>
          <w:rFonts w:ascii="Museo Sans 300" w:hAnsi="Museo Sans 300"/>
        </w:rPr>
        <w:t xml:space="preserve">and PRA Buffer </w:t>
      </w:r>
      <w:r w:rsidRPr="00D86C2F">
        <w:rPr>
          <w:rFonts w:ascii="Museo Sans 300" w:hAnsi="Museo Sans 300"/>
        </w:rPr>
        <w:t xml:space="preserve">and has complied with all externally imposed </w:t>
      </w:r>
      <w:r w:rsidRPr="00B35CF9">
        <w:rPr>
          <w:rFonts w:ascii="Museo Sans 300" w:hAnsi="Museo Sans 300"/>
        </w:rPr>
        <w:t>capital requirements during 202</w:t>
      </w:r>
      <w:r w:rsidR="001D171B">
        <w:rPr>
          <w:rFonts w:ascii="Museo Sans 300" w:hAnsi="Museo Sans 300"/>
        </w:rPr>
        <w:t>3</w:t>
      </w:r>
      <w:r w:rsidRPr="00B35CF9">
        <w:rPr>
          <w:rFonts w:ascii="Museo Sans 300" w:hAnsi="Museo Sans 300"/>
        </w:rPr>
        <w:t xml:space="preserve">. The PRA monitors capital adequacy through regulatory returns. </w:t>
      </w:r>
    </w:p>
    <w:p w14:paraId="625E2417" w14:textId="34DAF554" w:rsidR="004518FE" w:rsidRPr="00B35CF9" w:rsidRDefault="004518FE" w:rsidP="001D171B">
      <w:pPr>
        <w:pStyle w:val="ACText"/>
        <w:spacing w:after="240" w:line="276" w:lineRule="auto"/>
        <w:rPr>
          <w:rFonts w:ascii="Museo Sans 300" w:hAnsi="Museo Sans 300"/>
        </w:rPr>
      </w:pPr>
      <w:r w:rsidRPr="00B35CF9">
        <w:rPr>
          <w:rFonts w:ascii="Museo Sans 300" w:hAnsi="Museo Sans 300"/>
        </w:rPr>
        <w:t>In addition</w:t>
      </w:r>
      <w:r>
        <w:rPr>
          <w:rFonts w:ascii="Museo Sans 300" w:hAnsi="Museo Sans 300"/>
        </w:rPr>
        <w:t xml:space="preserve"> to the TCR and PRA Buffer requirements</w:t>
      </w:r>
      <w:r w:rsidRPr="00B35CF9">
        <w:rPr>
          <w:rFonts w:ascii="Museo Sans 300" w:hAnsi="Museo Sans 300"/>
        </w:rPr>
        <w:t xml:space="preserve">, </w:t>
      </w:r>
      <w:r>
        <w:rPr>
          <w:rFonts w:ascii="Museo Sans 300" w:hAnsi="Museo Sans 300"/>
        </w:rPr>
        <w:t>the Bank hold</w:t>
      </w:r>
      <w:r w:rsidR="00D20955">
        <w:rPr>
          <w:rFonts w:ascii="Museo Sans 300" w:hAnsi="Museo Sans 300"/>
        </w:rPr>
        <w:t>s</w:t>
      </w:r>
      <w:r>
        <w:rPr>
          <w:rFonts w:ascii="Museo Sans 300" w:hAnsi="Museo Sans 300"/>
        </w:rPr>
        <w:t xml:space="preserve"> capital </w:t>
      </w:r>
      <w:r w:rsidRPr="00B35CF9">
        <w:rPr>
          <w:rFonts w:ascii="Museo Sans 300" w:hAnsi="Museo Sans 300"/>
        </w:rPr>
        <w:t xml:space="preserve">to meet the </w:t>
      </w:r>
      <w:r>
        <w:rPr>
          <w:rFonts w:ascii="Museo Sans 300" w:hAnsi="Museo Sans 300"/>
        </w:rPr>
        <w:t xml:space="preserve">Capital Conservation Buffer (CCoB) and Countercyclical Capital Buffer (CCyB).  </w:t>
      </w:r>
    </w:p>
    <w:p w14:paraId="509B76AC" w14:textId="77777777" w:rsidR="004518FE" w:rsidRDefault="004518FE" w:rsidP="001D171B">
      <w:pPr>
        <w:spacing w:line="276" w:lineRule="auto"/>
        <w:jc w:val="both"/>
      </w:pPr>
      <w:r w:rsidRPr="00B35CF9">
        <w:t xml:space="preserve">Under the Bank Recovery and Resolution Directive (BRRD I and II), the Bank of England has assigned </w:t>
      </w:r>
      <w:r>
        <w:t xml:space="preserve">CCB </w:t>
      </w:r>
      <w:r w:rsidRPr="00B35CF9">
        <w:t>to the ‘Modified Insolvency’ category</w:t>
      </w:r>
      <w:r>
        <w:t>.</w:t>
      </w:r>
      <w:r w:rsidRPr="00B35CF9">
        <w:t xml:space="preserve"> </w:t>
      </w:r>
      <w:r>
        <w:t xml:space="preserve">The Bank </w:t>
      </w:r>
      <w:r w:rsidRPr="00B35CF9">
        <w:t xml:space="preserve">meets </w:t>
      </w:r>
      <w:r>
        <w:t xml:space="preserve">this </w:t>
      </w:r>
      <w:r w:rsidRPr="00B35CF9">
        <w:t xml:space="preserve">requirement by </w:t>
      </w:r>
      <w:r>
        <w:t xml:space="preserve">holding sufficient capital to meet </w:t>
      </w:r>
      <w:r w:rsidRPr="00B35CF9">
        <w:t xml:space="preserve">its Total Capital Requirements (TCR) </w:t>
      </w:r>
      <w:r>
        <w:t xml:space="preserve">which </w:t>
      </w:r>
      <w:r w:rsidRPr="00B35CF9">
        <w:t>compris</w:t>
      </w:r>
      <w:r>
        <w:t>es</w:t>
      </w:r>
      <w:r w:rsidRPr="00B35CF9">
        <w:t xml:space="preserve"> Pillar 1 and Pillar 2A.</w:t>
      </w:r>
    </w:p>
    <w:p w14:paraId="77248909" w14:textId="77777777" w:rsidR="004518FE" w:rsidRPr="00D86C2F" w:rsidRDefault="004518FE" w:rsidP="004518FE">
      <w:pPr>
        <w:pStyle w:val="ACText"/>
        <w:spacing w:line="276" w:lineRule="auto"/>
        <w:rPr>
          <w:rFonts w:ascii="Museo Sans 300" w:hAnsi="Museo Sans 300"/>
        </w:rPr>
      </w:pPr>
    </w:p>
    <w:p w14:paraId="4FAA1554" w14:textId="77777777" w:rsidR="004518FE" w:rsidRDefault="004518FE" w:rsidP="004518FE">
      <w:pPr>
        <w:jc w:val="both"/>
        <w:rPr>
          <w:rFonts w:eastAsia="Times New Roman"/>
          <w:b/>
          <w:bCs/>
          <w:color w:val="548DD4"/>
          <w:sz w:val="22"/>
        </w:rPr>
      </w:pPr>
      <w:r>
        <w:rPr>
          <w:b/>
          <w:bCs/>
          <w:color w:val="548DD4"/>
          <w:sz w:val="22"/>
        </w:rPr>
        <w:br w:type="page"/>
      </w:r>
    </w:p>
    <w:p w14:paraId="4B01297B" w14:textId="5ACD7E53" w:rsidR="004518FE" w:rsidRDefault="004518FE" w:rsidP="00734134">
      <w:pPr>
        <w:pStyle w:val="Heading2"/>
      </w:pPr>
      <w:r>
        <w:lastRenderedPageBreak/>
        <w:t>Key metrics</w:t>
      </w:r>
    </w:p>
    <w:p w14:paraId="06A13817" w14:textId="540FD984" w:rsidR="004518FE" w:rsidRDefault="004518FE" w:rsidP="001D171B">
      <w:pPr>
        <w:spacing w:line="276" w:lineRule="auto"/>
        <w:jc w:val="both"/>
      </w:pPr>
      <w:r>
        <w:t xml:space="preserve">The table </w:t>
      </w:r>
      <w:r w:rsidR="00774244">
        <w:t xml:space="preserve">below </w:t>
      </w:r>
      <w:r>
        <w:t xml:space="preserve">presents CCBs key metric positions </w:t>
      </w:r>
      <w:r w:rsidR="00774244">
        <w:t xml:space="preserve">using its audited accounts </w:t>
      </w:r>
      <w:r>
        <w:t xml:space="preserve">as </w:t>
      </w:r>
      <w:proofErr w:type="gramStart"/>
      <w:r w:rsidR="007D2F6A">
        <w:t>at</w:t>
      </w:r>
      <w:proofErr w:type="gramEnd"/>
      <w:r w:rsidR="007D2F6A">
        <w:t xml:space="preserve"> 31 December </w:t>
      </w:r>
      <w:r>
        <w:t>202</w:t>
      </w:r>
      <w:r w:rsidR="00220A30">
        <w:t>3</w:t>
      </w:r>
      <w:r>
        <w:t>, with only items applicable to the Bank being shown.</w:t>
      </w:r>
      <w:r w:rsidR="00F349A9">
        <w:t xml:space="preserve"> </w:t>
      </w:r>
    </w:p>
    <w:p w14:paraId="671959CF" w14:textId="3C2DC76B" w:rsidR="00220A30" w:rsidRDefault="004518FE" w:rsidP="004518FE">
      <w:pPr>
        <w:pStyle w:val="ACText"/>
        <w:spacing w:line="276" w:lineRule="auto"/>
        <w:rPr>
          <w:rFonts w:ascii="Museo Sans 300" w:hAnsi="Museo Sans 300"/>
        </w:rPr>
      </w:pPr>
      <w:r w:rsidRPr="00D86C2F">
        <w:rPr>
          <w:rFonts w:ascii="Museo Sans 300" w:hAnsi="Museo Sans 300"/>
        </w:rPr>
        <w:t xml:space="preserve">As </w:t>
      </w:r>
      <w:proofErr w:type="gramStart"/>
      <w:r w:rsidR="007D2F6A">
        <w:rPr>
          <w:rFonts w:ascii="Museo Sans 300" w:hAnsi="Museo Sans 300"/>
        </w:rPr>
        <w:t>at</w:t>
      </w:r>
      <w:proofErr w:type="gramEnd"/>
      <w:r w:rsidRPr="00D86C2F">
        <w:rPr>
          <w:rFonts w:ascii="Museo Sans 300" w:hAnsi="Museo Sans 300"/>
        </w:rPr>
        <w:t xml:space="preserve"> </w:t>
      </w:r>
      <w:r w:rsidRPr="00605D8E">
        <w:rPr>
          <w:rFonts w:ascii="Museo Sans 300" w:hAnsi="Museo Sans 300"/>
        </w:rPr>
        <w:t>31 December 202</w:t>
      </w:r>
      <w:r w:rsidR="00220A30">
        <w:rPr>
          <w:rFonts w:ascii="Museo Sans 300" w:hAnsi="Museo Sans 300"/>
        </w:rPr>
        <w:t>3</w:t>
      </w:r>
      <w:r w:rsidRPr="00605D8E">
        <w:rPr>
          <w:rFonts w:ascii="Museo Sans 300" w:hAnsi="Museo Sans 300"/>
        </w:rPr>
        <w:t>, the Bank</w:t>
      </w:r>
      <w:r w:rsidR="00471B1D">
        <w:rPr>
          <w:rFonts w:ascii="Museo Sans 300" w:hAnsi="Museo Sans 300"/>
        </w:rPr>
        <w:t xml:space="preserve"> maintained a strong</w:t>
      </w:r>
      <w:r w:rsidRPr="00605D8E">
        <w:rPr>
          <w:rFonts w:ascii="Museo Sans 300" w:hAnsi="Museo Sans 300"/>
        </w:rPr>
        <w:t xml:space="preserve"> regulatory capital </w:t>
      </w:r>
      <w:r w:rsidR="00471B1D">
        <w:rPr>
          <w:rFonts w:ascii="Museo Sans 300" w:hAnsi="Museo Sans 300"/>
        </w:rPr>
        <w:t>position of</w:t>
      </w:r>
      <w:r w:rsidR="00471B1D" w:rsidRPr="00605D8E">
        <w:rPr>
          <w:rFonts w:ascii="Museo Sans 300" w:hAnsi="Museo Sans 300"/>
        </w:rPr>
        <w:t xml:space="preserve"> </w:t>
      </w:r>
      <w:r w:rsidRPr="00605D8E">
        <w:rPr>
          <w:rFonts w:ascii="Museo Sans 300" w:hAnsi="Museo Sans 300"/>
        </w:rPr>
        <w:t>£</w:t>
      </w:r>
      <w:r w:rsidR="00471B1D">
        <w:rPr>
          <w:rFonts w:ascii="Museo Sans 300" w:hAnsi="Museo Sans 300"/>
        </w:rPr>
        <w:t>219m</w:t>
      </w:r>
      <w:r w:rsidRPr="00605D8E">
        <w:rPr>
          <w:rFonts w:ascii="Museo Sans 300" w:hAnsi="Museo Sans 300"/>
        </w:rPr>
        <w:t xml:space="preserve"> (202</w:t>
      </w:r>
      <w:r w:rsidR="00471B1D">
        <w:rPr>
          <w:rFonts w:ascii="Museo Sans 300" w:hAnsi="Museo Sans 300"/>
        </w:rPr>
        <w:t>2</w:t>
      </w:r>
      <w:r w:rsidRPr="00605D8E">
        <w:rPr>
          <w:rFonts w:ascii="Museo Sans 300" w:hAnsi="Museo Sans 300"/>
        </w:rPr>
        <w:t>: £</w:t>
      </w:r>
      <w:r w:rsidR="00471B1D">
        <w:rPr>
          <w:rFonts w:ascii="Museo Sans 300" w:hAnsi="Museo Sans 300"/>
        </w:rPr>
        <w:t>186m</w:t>
      </w:r>
      <w:r w:rsidRPr="00605D8E">
        <w:rPr>
          <w:rFonts w:ascii="Museo Sans 300" w:hAnsi="Museo Sans 300"/>
        </w:rPr>
        <w:t>)</w:t>
      </w:r>
      <w:r w:rsidR="001D171B">
        <w:rPr>
          <w:rFonts w:ascii="Museo Sans 300" w:hAnsi="Museo Sans 300"/>
        </w:rPr>
        <w:t>.</w:t>
      </w:r>
    </w:p>
    <w:p w14:paraId="11F52FA7" w14:textId="542E12A7" w:rsidR="004518FE" w:rsidRPr="001D171B" w:rsidRDefault="00F01906" w:rsidP="001D171B">
      <w:pPr>
        <w:pStyle w:val="ACText"/>
        <w:spacing w:line="276" w:lineRule="auto"/>
        <w:rPr>
          <w:rFonts w:ascii="Museo Sans 300" w:hAnsi="Museo Sans 300"/>
        </w:rPr>
      </w:pPr>
      <w:r w:rsidRPr="00F01906">
        <w:rPr>
          <w:rFonts w:ascii="Museo Sans 300" w:hAnsi="Museo Sans 300"/>
          <w:noProof/>
        </w:rPr>
        <w:drawing>
          <wp:inline distT="0" distB="0" distL="0" distR="0" wp14:anchorId="5D8FF6DB" wp14:editId="00AACD2E">
            <wp:extent cx="5765345" cy="5429250"/>
            <wp:effectExtent l="0" t="0" r="6985" b="0"/>
            <wp:docPr id="3480357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35720" name="Picture 1" descr="A screenshot of a computer&#10;&#10;Description automatically generated"/>
                    <pic:cNvPicPr/>
                  </pic:nvPicPr>
                  <pic:blipFill>
                    <a:blip r:embed="rId24"/>
                    <a:stretch>
                      <a:fillRect/>
                    </a:stretch>
                  </pic:blipFill>
                  <pic:spPr>
                    <a:xfrm>
                      <a:off x="0" y="0"/>
                      <a:ext cx="5774853" cy="5438204"/>
                    </a:xfrm>
                    <a:prstGeom prst="rect">
                      <a:avLst/>
                    </a:prstGeom>
                  </pic:spPr>
                </pic:pic>
              </a:graphicData>
            </a:graphic>
          </wp:inline>
        </w:drawing>
      </w:r>
    </w:p>
    <w:p w14:paraId="41D26C71" w14:textId="7CD02D7D" w:rsidR="004518FE" w:rsidRDefault="004518FE" w:rsidP="004518FE">
      <w:pPr>
        <w:spacing w:after="160" w:line="259" w:lineRule="auto"/>
        <w:rPr>
          <w:rFonts w:eastAsia="Times New Roman"/>
          <w:b/>
          <w:bCs/>
          <w:color w:val="5B9BD5"/>
        </w:rPr>
      </w:pPr>
    </w:p>
    <w:p w14:paraId="40970B39" w14:textId="3946DCDA" w:rsidR="004518FE" w:rsidRDefault="004518FE" w:rsidP="00734134">
      <w:pPr>
        <w:pStyle w:val="Heading3"/>
      </w:pPr>
      <w:r>
        <w:t>Overview of risk weighted exposures</w:t>
      </w:r>
    </w:p>
    <w:p w14:paraId="0B5C3BB8" w14:textId="27F7846A" w:rsidR="004518FE" w:rsidRDefault="004518FE" w:rsidP="001D171B">
      <w:pPr>
        <w:spacing w:line="276" w:lineRule="auto"/>
        <w:jc w:val="both"/>
      </w:pPr>
      <w:r w:rsidRPr="003F15DB">
        <w:t xml:space="preserve">The assets of the Bank are analysed by risk category and </w:t>
      </w:r>
      <w:r>
        <w:t xml:space="preserve">are assigned </w:t>
      </w:r>
      <w:r w:rsidRPr="003F15DB">
        <w:t xml:space="preserve">weightings </w:t>
      </w:r>
      <w:r>
        <w:t xml:space="preserve">which reflect </w:t>
      </w:r>
      <w:r w:rsidRPr="003F15DB">
        <w:t xml:space="preserve">the level of risk </w:t>
      </w:r>
      <w:r>
        <w:t>exposure under the Standardised Approach</w:t>
      </w:r>
      <w:r w:rsidRPr="003F15DB">
        <w:t xml:space="preserve">. The Bank’s credit risk consists of counterparty credit risk and all other credit risk, principally arising from its loans and advances to customers. The Bank’s minimum capital requirements </w:t>
      </w:r>
      <w:r>
        <w:t xml:space="preserve">for credit risk </w:t>
      </w:r>
      <w:r w:rsidRPr="003F15DB">
        <w:t xml:space="preserve">are calculated by applying </w:t>
      </w:r>
      <w:r>
        <w:t>the Pillar 1 capital requirement of 8%</w:t>
      </w:r>
      <w:r w:rsidRPr="003F15DB">
        <w:t xml:space="preserve"> to the risk weighted assets</w:t>
      </w:r>
      <w:r>
        <w:t xml:space="preserve"> of CCB</w:t>
      </w:r>
      <w:r w:rsidRPr="003F15DB">
        <w:t xml:space="preserve">. </w:t>
      </w:r>
      <w:r>
        <w:t>C</w:t>
      </w:r>
      <w:r w:rsidRPr="003F15DB">
        <w:t xml:space="preserve">redit risk weightings are determined by the Standardised Approach as set out in the CRR. The Bank uses Moody’s Investors Service as its nominated External Credit Assessment Institution (ECAI) for all standardised counterparty credit risk exposure classes. </w:t>
      </w:r>
      <w:r w:rsidR="00D20955">
        <w:t>The Bank holds derivative instruments to manage its minimal interest rate risk and does not hold a trading book. Derivatives follow the original exposure method for credit risk.</w:t>
      </w:r>
    </w:p>
    <w:p w14:paraId="550FC1C7" w14:textId="77777777" w:rsidR="00FA2D4F" w:rsidRDefault="00FA2D4F" w:rsidP="001D171B">
      <w:pPr>
        <w:spacing w:line="276" w:lineRule="auto"/>
        <w:jc w:val="both"/>
      </w:pPr>
    </w:p>
    <w:p w14:paraId="6C6BB850" w14:textId="77777777" w:rsidR="004518FE" w:rsidRPr="003F15DB" w:rsidRDefault="004518FE" w:rsidP="001D171B">
      <w:pPr>
        <w:spacing w:line="276" w:lineRule="auto"/>
        <w:jc w:val="both"/>
      </w:pPr>
      <w:r>
        <w:lastRenderedPageBreak/>
        <w:t>CCB is subject to Pillar 1 capital requirements related to the following risk items</w:t>
      </w:r>
      <w:r w:rsidRPr="003F15DB">
        <w:t>:</w:t>
      </w:r>
    </w:p>
    <w:p w14:paraId="7B8AD749" w14:textId="10993B32" w:rsidR="004518FE" w:rsidRPr="003F15DB" w:rsidRDefault="004518FE" w:rsidP="001D171B">
      <w:pPr>
        <w:pStyle w:val="ListParagraph"/>
        <w:numPr>
          <w:ilvl w:val="0"/>
          <w:numId w:val="26"/>
        </w:numPr>
        <w:spacing w:line="276" w:lineRule="auto"/>
        <w:jc w:val="both"/>
      </w:pPr>
      <w:r w:rsidRPr="003F15DB">
        <w:t xml:space="preserve">credit risk </w:t>
      </w:r>
    </w:p>
    <w:p w14:paraId="18720009" w14:textId="77777777" w:rsidR="004518FE" w:rsidRPr="003F15DB" w:rsidRDefault="004518FE" w:rsidP="001D171B">
      <w:pPr>
        <w:pStyle w:val="ListParagraph"/>
        <w:numPr>
          <w:ilvl w:val="0"/>
          <w:numId w:val="26"/>
        </w:numPr>
        <w:spacing w:line="276" w:lineRule="auto"/>
        <w:jc w:val="both"/>
      </w:pPr>
      <w:r w:rsidRPr="003F15DB">
        <w:t>operational risk;</w:t>
      </w:r>
    </w:p>
    <w:p w14:paraId="68781E20" w14:textId="0D26377A" w:rsidR="004518FE" w:rsidRDefault="004518FE" w:rsidP="001D171B">
      <w:pPr>
        <w:pStyle w:val="ListParagraph"/>
        <w:numPr>
          <w:ilvl w:val="0"/>
          <w:numId w:val="26"/>
        </w:numPr>
        <w:spacing w:line="276" w:lineRule="auto"/>
        <w:jc w:val="both"/>
      </w:pPr>
      <w:r>
        <w:t>credit valuation adjustment risk</w:t>
      </w:r>
      <w:r w:rsidR="00502C98">
        <w:t>;</w:t>
      </w:r>
    </w:p>
    <w:p w14:paraId="2A990CFC" w14:textId="77777777" w:rsidR="00471B1D" w:rsidRPr="00177326" w:rsidRDefault="004518FE" w:rsidP="001D171B">
      <w:pPr>
        <w:pStyle w:val="ListParagraph"/>
        <w:numPr>
          <w:ilvl w:val="0"/>
          <w:numId w:val="26"/>
        </w:numPr>
        <w:spacing w:line="276" w:lineRule="auto"/>
        <w:jc w:val="both"/>
      </w:pPr>
      <w:r>
        <w:t xml:space="preserve">counterparty </w:t>
      </w:r>
      <w:r w:rsidRPr="00177326">
        <w:t>credit risk</w:t>
      </w:r>
      <w:r w:rsidR="00471B1D" w:rsidRPr="00177326">
        <w:t>;</w:t>
      </w:r>
    </w:p>
    <w:p w14:paraId="5D43E495" w14:textId="68657525" w:rsidR="0071512F" w:rsidRPr="00C82895" w:rsidRDefault="00471B1D" w:rsidP="004518FE">
      <w:pPr>
        <w:pStyle w:val="ListParagraph"/>
        <w:numPr>
          <w:ilvl w:val="0"/>
          <w:numId w:val="26"/>
        </w:numPr>
        <w:spacing w:line="276" w:lineRule="auto"/>
        <w:jc w:val="both"/>
      </w:pPr>
      <w:r w:rsidRPr="00177326">
        <w:t>prudent valuation on fair valued assets</w:t>
      </w:r>
      <w:r w:rsidR="00C82895">
        <w:t>.</w:t>
      </w:r>
    </w:p>
    <w:p w14:paraId="11A23135" w14:textId="79F6B1A1" w:rsidR="0071512F" w:rsidRDefault="001D263D" w:rsidP="004518FE">
      <w:pPr>
        <w:jc w:val="both"/>
        <w:rPr>
          <w:b/>
          <w:bCs/>
          <w:color w:val="00B0F0"/>
        </w:rPr>
      </w:pPr>
      <w:r w:rsidRPr="001D263D">
        <w:rPr>
          <w:b/>
          <w:bCs/>
          <w:noProof/>
          <w:color w:val="00B0F0"/>
        </w:rPr>
        <w:drawing>
          <wp:inline distT="0" distB="0" distL="0" distR="0" wp14:anchorId="08096A19" wp14:editId="419CBC25">
            <wp:extent cx="5986780" cy="2704862"/>
            <wp:effectExtent l="0" t="0" r="0" b="635"/>
            <wp:docPr id="98557936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79365" name="Picture 1" descr="A screenshot of a computer screen&#10;&#10;Description automatically generated"/>
                    <pic:cNvPicPr/>
                  </pic:nvPicPr>
                  <pic:blipFill>
                    <a:blip r:embed="rId25"/>
                    <a:stretch>
                      <a:fillRect/>
                    </a:stretch>
                  </pic:blipFill>
                  <pic:spPr>
                    <a:xfrm>
                      <a:off x="0" y="0"/>
                      <a:ext cx="5992930" cy="2707640"/>
                    </a:xfrm>
                    <a:prstGeom prst="rect">
                      <a:avLst/>
                    </a:prstGeom>
                  </pic:spPr>
                </pic:pic>
              </a:graphicData>
            </a:graphic>
          </wp:inline>
        </w:drawing>
      </w:r>
    </w:p>
    <w:p w14:paraId="145EB1FE" w14:textId="77777777" w:rsidR="001D263D" w:rsidRDefault="001D263D" w:rsidP="004518FE">
      <w:pPr>
        <w:jc w:val="both"/>
      </w:pPr>
    </w:p>
    <w:p w14:paraId="5654D9CC" w14:textId="77777777" w:rsidR="001D263D" w:rsidRDefault="001D263D" w:rsidP="004518FE">
      <w:pPr>
        <w:jc w:val="both"/>
      </w:pPr>
    </w:p>
    <w:p w14:paraId="61F32AF2" w14:textId="77777777" w:rsidR="00024F76" w:rsidRDefault="00024F76" w:rsidP="001D171B">
      <w:pPr>
        <w:spacing w:line="276" w:lineRule="auto"/>
        <w:jc w:val="both"/>
      </w:pPr>
    </w:p>
    <w:p w14:paraId="11C42A5A" w14:textId="0C0CCBCD" w:rsidR="006E25B5" w:rsidRDefault="0071512F" w:rsidP="001D171B">
      <w:pPr>
        <w:spacing w:line="276" w:lineRule="auto"/>
        <w:jc w:val="both"/>
      </w:pPr>
      <w:r w:rsidRPr="0071512F">
        <w:t xml:space="preserve">Credit risk exposure comprises of the following exposure classes for </w:t>
      </w:r>
      <w:r>
        <w:t>31-Dec-</w:t>
      </w:r>
      <w:r w:rsidRPr="0071512F">
        <w:t>202</w:t>
      </w:r>
      <w:r w:rsidR="00D97C26">
        <w:t>3</w:t>
      </w:r>
      <w:r w:rsidRPr="0071512F">
        <w:t xml:space="preserve"> along with their exposure values and risk weighted exposures</w:t>
      </w:r>
      <w:r w:rsidR="001D263D">
        <w:t>.</w:t>
      </w:r>
    </w:p>
    <w:p w14:paraId="1ED29070" w14:textId="77777777" w:rsidR="006E25B5" w:rsidRDefault="006E25B5" w:rsidP="004518FE">
      <w:pPr>
        <w:jc w:val="both"/>
      </w:pPr>
    </w:p>
    <w:p w14:paraId="36F88839" w14:textId="132A20DF" w:rsidR="001D171B" w:rsidRDefault="00C37B92" w:rsidP="001D171B">
      <w:pPr>
        <w:jc w:val="both"/>
      </w:pPr>
      <w:r w:rsidRPr="00C37B92">
        <w:rPr>
          <w:noProof/>
        </w:rPr>
        <w:drawing>
          <wp:inline distT="0" distB="0" distL="0" distR="0" wp14:anchorId="523BCBAD" wp14:editId="3F6A2A57">
            <wp:extent cx="5986780" cy="3264721"/>
            <wp:effectExtent l="0" t="0" r="0" b="0"/>
            <wp:docPr id="1253810368"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10368" name="Picture 1" descr="A screenshot of a report&#10;&#10;Description automatically generated"/>
                    <pic:cNvPicPr/>
                  </pic:nvPicPr>
                  <pic:blipFill>
                    <a:blip r:embed="rId26"/>
                    <a:stretch>
                      <a:fillRect/>
                    </a:stretch>
                  </pic:blipFill>
                  <pic:spPr>
                    <a:xfrm>
                      <a:off x="0" y="0"/>
                      <a:ext cx="6003406" cy="3273788"/>
                    </a:xfrm>
                    <a:prstGeom prst="rect">
                      <a:avLst/>
                    </a:prstGeom>
                  </pic:spPr>
                </pic:pic>
              </a:graphicData>
            </a:graphic>
          </wp:inline>
        </w:drawing>
      </w:r>
    </w:p>
    <w:p w14:paraId="042B3155" w14:textId="77777777" w:rsidR="001D171B" w:rsidRDefault="001D171B" w:rsidP="00734134">
      <w:pPr>
        <w:pStyle w:val="Heading3"/>
      </w:pPr>
    </w:p>
    <w:p w14:paraId="7444BCD2" w14:textId="77777777" w:rsidR="00024F76" w:rsidRPr="00024F76" w:rsidRDefault="00024F76" w:rsidP="00024F76"/>
    <w:p w14:paraId="03205276" w14:textId="3CD9A211" w:rsidR="004518FE" w:rsidRPr="00A80EA6" w:rsidRDefault="004518FE" w:rsidP="00734134">
      <w:pPr>
        <w:pStyle w:val="Heading3"/>
      </w:pPr>
      <w:r>
        <w:lastRenderedPageBreak/>
        <w:t>Composition of regulatory own funds</w:t>
      </w:r>
    </w:p>
    <w:p w14:paraId="0A0819C4" w14:textId="5EED87B4" w:rsidR="004518FE" w:rsidRDefault="004518FE" w:rsidP="001D171B">
      <w:pPr>
        <w:spacing w:line="276" w:lineRule="auto"/>
        <w:jc w:val="both"/>
      </w:pPr>
      <w:r>
        <w:t>CCB holds CET1 capital consisting of Share capital and retained reserves. The regulatory CET1 capital is stated in the table after regulatory adjustments. The Bank also holds perpetual convertible loan notes eligible for AT1</w:t>
      </w:r>
      <w:r w:rsidR="006E25B5">
        <w:t xml:space="preserve"> and subordinated debt Tier 2 capital. </w:t>
      </w:r>
    </w:p>
    <w:p w14:paraId="5450DF16" w14:textId="77777777" w:rsidR="00193B86" w:rsidRDefault="00193B86" w:rsidP="004518FE">
      <w:pPr>
        <w:jc w:val="both"/>
      </w:pPr>
    </w:p>
    <w:p w14:paraId="02F2DB42" w14:textId="27162913" w:rsidR="00193B86" w:rsidRDefault="00193B86" w:rsidP="004518FE">
      <w:pPr>
        <w:jc w:val="both"/>
      </w:pPr>
      <w:r w:rsidRPr="00193B86">
        <w:rPr>
          <w:noProof/>
        </w:rPr>
        <w:drawing>
          <wp:inline distT="0" distB="0" distL="0" distR="0" wp14:anchorId="18327D12" wp14:editId="697F88C9">
            <wp:extent cx="5944870" cy="4351890"/>
            <wp:effectExtent l="0" t="0" r="0" b="0"/>
            <wp:docPr id="12695993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9364" name="Picture 1" descr="A screenshot of a computer&#10;&#10;Description automatically generated"/>
                    <pic:cNvPicPr/>
                  </pic:nvPicPr>
                  <pic:blipFill>
                    <a:blip r:embed="rId27"/>
                    <a:stretch>
                      <a:fillRect/>
                    </a:stretch>
                  </pic:blipFill>
                  <pic:spPr>
                    <a:xfrm>
                      <a:off x="0" y="0"/>
                      <a:ext cx="5947403" cy="4353744"/>
                    </a:xfrm>
                    <a:prstGeom prst="rect">
                      <a:avLst/>
                    </a:prstGeom>
                  </pic:spPr>
                </pic:pic>
              </a:graphicData>
            </a:graphic>
          </wp:inline>
        </w:drawing>
      </w:r>
      <w:r w:rsidRPr="00193B86">
        <w:rPr>
          <w:noProof/>
        </w:rPr>
        <w:t xml:space="preserve"> </w:t>
      </w:r>
      <w:r w:rsidRPr="00193B86">
        <w:rPr>
          <w:noProof/>
        </w:rPr>
        <w:drawing>
          <wp:inline distT="0" distB="0" distL="0" distR="0" wp14:anchorId="194A0D25" wp14:editId="0C39BA40">
            <wp:extent cx="5944870" cy="1999700"/>
            <wp:effectExtent l="0" t="0" r="0" b="635"/>
            <wp:docPr id="45821097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10970" name="Picture 1" descr="A screenshot of a computer screen&#10;&#10;Description automatically generated"/>
                    <pic:cNvPicPr/>
                  </pic:nvPicPr>
                  <pic:blipFill>
                    <a:blip r:embed="rId28"/>
                    <a:stretch>
                      <a:fillRect/>
                    </a:stretch>
                  </pic:blipFill>
                  <pic:spPr>
                    <a:xfrm>
                      <a:off x="0" y="0"/>
                      <a:ext cx="5956399" cy="2003578"/>
                    </a:xfrm>
                    <a:prstGeom prst="rect">
                      <a:avLst/>
                    </a:prstGeom>
                  </pic:spPr>
                </pic:pic>
              </a:graphicData>
            </a:graphic>
          </wp:inline>
        </w:drawing>
      </w:r>
    </w:p>
    <w:p w14:paraId="69074377" w14:textId="5FC62EE2" w:rsidR="004518FE" w:rsidRDefault="004518FE" w:rsidP="004518FE">
      <w:pPr>
        <w:jc w:val="both"/>
        <w:rPr>
          <w:noProof/>
        </w:rPr>
      </w:pPr>
    </w:p>
    <w:p w14:paraId="3A498245" w14:textId="7E2B2B7D" w:rsidR="006E25B5" w:rsidRDefault="006E25B5" w:rsidP="004518FE">
      <w:pPr>
        <w:jc w:val="both"/>
        <w:rPr>
          <w:noProof/>
        </w:rPr>
      </w:pPr>
      <w:r w:rsidRPr="006E25B5">
        <w:rPr>
          <w:noProof/>
        </w:rPr>
        <w:t xml:space="preserve"> </w:t>
      </w:r>
    </w:p>
    <w:p w14:paraId="19F24588" w14:textId="597BFEAC" w:rsidR="00784348" w:rsidRDefault="00781789" w:rsidP="004518FE">
      <w:pPr>
        <w:jc w:val="both"/>
        <w:rPr>
          <w:noProof/>
        </w:rPr>
      </w:pPr>
      <w:r w:rsidRPr="00781789">
        <w:rPr>
          <w:noProof/>
        </w:rPr>
        <w:t xml:space="preserve"> </w:t>
      </w:r>
    </w:p>
    <w:p w14:paraId="61DA561F" w14:textId="04E5F71C" w:rsidR="00222D9A" w:rsidRDefault="00222D9A" w:rsidP="004518FE">
      <w:pPr>
        <w:jc w:val="both"/>
        <w:rPr>
          <w:noProof/>
        </w:rPr>
      </w:pPr>
    </w:p>
    <w:p w14:paraId="2A572A7C" w14:textId="6D2C28D6" w:rsidR="00681C89" w:rsidRDefault="00681C89" w:rsidP="004518FE">
      <w:pPr>
        <w:jc w:val="both"/>
        <w:rPr>
          <w:noProof/>
        </w:rPr>
      </w:pPr>
    </w:p>
    <w:p w14:paraId="56B42204" w14:textId="77777777" w:rsidR="004518FE" w:rsidRDefault="004518FE" w:rsidP="004518FE">
      <w:pPr>
        <w:jc w:val="both"/>
        <w:rPr>
          <w:noProof/>
        </w:rPr>
      </w:pPr>
      <w:r w:rsidRPr="00330E5B">
        <w:rPr>
          <w:noProof/>
        </w:rPr>
        <w:t xml:space="preserve"> </w:t>
      </w:r>
    </w:p>
    <w:p w14:paraId="5FAEE439" w14:textId="13D9F260" w:rsidR="00650172" w:rsidRDefault="00650172">
      <w:pPr>
        <w:spacing w:after="160" w:line="259" w:lineRule="auto"/>
        <w:rPr>
          <w:rFonts w:eastAsia="Times New Roman"/>
          <w:b/>
          <w:bCs/>
          <w:color w:val="5B9BD5"/>
        </w:rPr>
      </w:pPr>
      <w:r>
        <w:rPr>
          <w:rFonts w:eastAsia="Times New Roman"/>
          <w:b/>
          <w:bCs/>
          <w:color w:val="5B9BD5"/>
        </w:rPr>
        <w:br w:type="page"/>
      </w:r>
    </w:p>
    <w:p w14:paraId="53764595" w14:textId="4C71C97F" w:rsidR="004518FE" w:rsidRDefault="004518FE" w:rsidP="00734134">
      <w:pPr>
        <w:pStyle w:val="Heading3"/>
      </w:pPr>
      <w:r>
        <w:lastRenderedPageBreak/>
        <w:t xml:space="preserve">Reconciliation </w:t>
      </w:r>
      <w:r w:rsidRPr="005E58E7">
        <w:t xml:space="preserve">of </w:t>
      </w:r>
      <w:r w:rsidR="00E11738">
        <w:t>R</w:t>
      </w:r>
      <w:r w:rsidRPr="005E58E7">
        <w:t xml:space="preserve">egulatory own funds to balance sheet in the audited </w:t>
      </w:r>
      <w:r w:rsidR="00E11738">
        <w:t>F</w:t>
      </w:r>
      <w:r w:rsidRPr="005E58E7">
        <w:t xml:space="preserve">inancial </w:t>
      </w:r>
      <w:r w:rsidR="00E11738">
        <w:t>S</w:t>
      </w:r>
      <w:r w:rsidRPr="005E58E7">
        <w:t>tatements</w:t>
      </w:r>
    </w:p>
    <w:p w14:paraId="64250D84" w14:textId="38367365" w:rsidR="00193B86" w:rsidRDefault="004518FE" w:rsidP="001D171B">
      <w:pPr>
        <w:spacing w:line="276" w:lineRule="auto"/>
        <w:jc w:val="both"/>
      </w:pPr>
      <w:r>
        <w:t xml:space="preserve">The </w:t>
      </w:r>
      <w:r w:rsidR="0094234F">
        <w:t>following</w:t>
      </w:r>
      <w:r>
        <w:t xml:space="preserve"> table shows comparison of items reported on the Banks </w:t>
      </w:r>
      <w:r w:rsidR="00E11738">
        <w:t>F</w:t>
      </w:r>
      <w:r w:rsidRPr="00177326">
        <w:t xml:space="preserve">inancial </w:t>
      </w:r>
      <w:r w:rsidR="00E11738">
        <w:t>S</w:t>
      </w:r>
      <w:r w:rsidRPr="00177326">
        <w:t>tatements and</w:t>
      </w:r>
      <w:r>
        <w:t xml:space="preserve"> their corresponding scope for </w:t>
      </w:r>
      <w:r w:rsidRPr="00024F76">
        <w:t xml:space="preserve">prudential </w:t>
      </w:r>
      <w:r w:rsidR="00454568" w:rsidRPr="00024F76">
        <w:t xml:space="preserve">regulatory </w:t>
      </w:r>
      <w:r w:rsidRPr="00024F76">
        <w:t>reporting</w:t>
      </w:r>
      <w:r>
        <w:t>.</w:t>
      </w:r>
    </w:p>
    <w:p w14:paraId="71E8C03D" w14:textId="77777777" w:rsidR="00DE7DC5" w:rsidRDefault="00DE7DC5" w:rsidP="001D171B">
      <w:pPr>
        <w:spacing w:line="276" w:lineRule="auto"/>
        <w:jc w:val="both"/>
      </w:pPr>
    </w:p>
    <w:p w14:paraId="5D4C8DDD" w14:textId="431DDC3E" w:rsidR="00DE7DC5" w:rsidRDefault="00024F76" w:rsidP="001D171B">
      <w:pPr>
        <w:spacing w:line="276" w:lineRule="auto"/>
        <w:jc w:val="both"/>
      </w:pPr>
      <w:r w:rsidRPr="00024F76">
        <w:rPr>
          <w:noProof/>
        </w:rPr>
        <w:drawing>
          <wp:inline distT="0" distB="0" distL="0" distR="0" wp14:anchorId="6B96FFD7" wp14:editId="01686295">
            <wp:extent cx="5677786" cy="5650865"/>
            <wp:effectExtent l="0" t="0" r="0" b="6985"/>
            <wp:docPr id="14503054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05485" name="Picture 1" descr="A screenshot of a computer&#10;&#10;Description automatically generated"/>
                    <pic:cNvPicPr/>
                  </pic:nvPicPr>
                  <pic:blipFill>
                    <a:blip r:embed="rId29"/>
                    <a:stretch>
                      <a:fillRect/>
                    </a:stretch>
                  </pic:blipFill>
                  <pic:spPr>
                    <a:xfrm>
                      <a:off x="0" y="0"/>
                      <a:ext cx="5695695" cy="5668689"/>
                    </a:xfrm>
                    <a:prstGeom prst="rect">
                      <a:avLst/>
                    </a:prstGeom>
                  </pic:spPr>
                </pic:pic>
              </a:graphicData>
            </a:graphic>
          </wp:inline>
        </w:drawing>
      </w:r>
    </w:p>
    <w:p w14:paraId="3CEC39B1" w14:textId="46DDC412" w:rsidR="004518FE" w:rsidRDefault="004518FE" w:rsidP="004518FE">
      <w:pPr>
        <w:jc w:val="both"/>
      </w:pPr>
    </w:p>
    <w:p w14:paraId="031FA7F7" w14:textId="5D794C62" w:rsidR="00784348" w:rsidRDefault="00784348" w:rsidP="001D171B">
      <w:pPr>
        <w:spacing w:line="276" w:lineRule="auto"/>
        <w:jc w:val="both"/>
        <w:rPr>
          <w:noProof/>
        </w:rPr>
      </w:pPr>
    </w:p>
    <w:p w14:paraId="7C7338FE" w14:textId="39952DF6" w:rsidR="004518FE" w:rsidRDefault="0094234F" w:rsidP="001D171B">
      <w:pPr>
        <w:spacing w:line="276" w:lineRule="auto"/>
        <w:jc w:val="both"/>
        <w:rPr>
          <w:noProof/>
        </w:rPr>
      </w:pPr>
      <w:r>
        <w:rPr>
          <w:noProof/>
        </w:rPr>
        <w:t>A</w:t>
      </w:r>
      <w:r w:rsidR="004518FE">
        <w:rPr>
          <w:noProof/>
        </w:rPr>
        <w:t xml:space="preserve"> reconciliation between Shareholders equity and Regulatory capita</w:t>
      </w:r>
      <w:r w:rsidR="001D263D">
        <w:rPr>
          <w:noProof/>
        </w:rPr>
        <w:t>l</w:t>
      </w:r>
      <w:r>
        <w:rPr>
          <w:noProof/>
        </w:rPr>
        <w:t xml:space="preserve"> is shown below</w:t>
      </w:r>
      <w:r w:rsidR="00781789">
        <w:rPr>
          <w:noProof/>
        </w:rPr>
        <w:t>. The regulatory capital post adjustments are detailed in table 4.</w:t>
      </w:r>
    </w:p>
    <w:p w14:paraId="744F9ED8" w14:textId="77777777" w:rsidR="00193B86" w:rsidRDefault="00193B86" w:rsidP="004518FE">
      <w:pPr>
        <w:jc w:val="both"/>
        <w:rPr>
          <w:noProof/>
        </w:rPr>
      </w:pPr>
    </w:p>
    <w:p w14:paraId="426F447F" w14:textId="4D64378F" w:rsidR="00193B86" w:rsidRDefault="005810DD" w:rsidP="004518FE">
      <w:pPr>
        <w:jc w:val="both"/>
        <w:rPr>
          <w:noProof/>
        </w:rPr>
      </w:pPr>
      <w:r w:rsidRPr="005810DD">
        <w:rPr>
          <w:noProof/>
        </w:rPr>
        <w:drawing>
          <wp:inline distT="0" distB="0" distL="0" distR="0" wp14:anchorId="18B44C15" wp14:editId="2A4B7303">
            <wp:extent cx="4171950" cy="1657461"/>
            <wp:effectExtent l="0" t="0" r="0" b="0"/>
            <wp:docPr id="24989931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99315" name="Picture 1" descr="A screenshot of a computer screen&#10;&#10;Description automatically generated"/>
                    <pic:cNvPicPr/>
                  </pic:nvPicPr>
                  <pic:blipFill>
                    <a:blip r:embed="rId30"/>
                    <a:stretch>
                      <a:fillRect/>
                    </a:stretch>
                  </pic:blipFill>
                  <pic:spPr>
                    <a:xfrm>
                      <a:off x="0" y="0"/>
                      <a:ext cx="4182797" cy="1661770"/>
                    </a:xfrm>
                    <a:prstGeom prst="rect">
                      <a:avLst/>
                    </a:prstGeom>
                  </pic:spPr>
                </pic:pic>
              </a:graphicData>
            </a:graphic>
          </wp:inline>
        </w:drawing>
      </w:r>
    </w:p>
    <w:p w14:paraId="6B957D97" w14:textId="5C9BCF87" w:rsidR="001D18BD" w:rsidRPr="00877E68" w:rsidRDefault="002D3FFE" w:rsidP="00877E68">
      <w:pPr>
        <w:pStyle w:val="Heading1"/>
        <w:numPr>
          <w:ilvl w:val="0"/>
          <w:numId w:val="25"/>
        </w:numPr>
        <w:jc w:val="both"/>
        <w:rPr>
          <w:color w:val="5B9BD5"/>
        </w:rPr>
      </w:pPr>
      <w:bookmarkStart w:id="60" w:name="_Toc166676702"/>
      <w:r w:rsidRPr="00877E68">
        <w:rPr>
          <w:color w:val="5B9BD5"/>
        </w:rPr>
        <w:lastRenderedPageBreak/>
        <w:t>Remuneration</w:t>
      </w:r>
      <w:bookmarkEnd w:id="54"/>
      <w:bookmarkEnd w:id="55"/>
      <w:bookmarkEnd w:id="56"/>
      <w:bookmarkEnd w:id="57"/>
      <w:bookmarkEnd w:id="58"/>
      <w:bookmarkEnd w:id="60"/>
    </w:p>
    <w:p w14:paraId="3146810F" w14:textId="5F70E0B5" w:rsidR="002D3FFE" w:rsidRPr="00B7126A" w:rsidRDefault="000D7FCA" w:rsidP="00DB1BE0">
      <w:pPr>
        <w:spacing w:after="120" w:line="276" w:lineRule="auto"/>
        <w:jc w:val="both"/>
      </w:pPr>
      <w:r>
        <w:t>T</w:t>
      </w:r>
      <w:r w:rsidR="002D3FFE" w:rsidRPr="007A2AC9">
        <w:t xml:space="preserve">he Bank is classified as a “Proportionality Level 3” firm for the purposes of the disclosure of remuneration under </w:t>
      </w:r>
      <w:r w:rsidR="002D3FFE" w:rsidRPr="00B7126A">
        <w:t>the Bank of England Supervisory Statement SS2/17 and in compliance with the CRR on Remuneration Disclosure. The Bank has followed the regulator’s guidance on materiality and proportionality. The following disclosures meet the requirements for a Level 3 proportionality firm</w:t>
      </w:r>
      <w:r w:rsidR="00CD4B82">
        <w:t>.</w:t>
      </w:r>
    </w:p>
    <w:p w14:paraId="78D1F95B" w14:textId="6077F7CB" w:rsidR="002D3FFE" w:rsidRPr="00B7126A" w:rsidRDefault="002D3FFE" w:rsidP="00DB1BE0">
      <w:pPr>
        <w:spacing w:after="120" w:line="276" w:lineRule="auto"/>
        <w:jc w:val="both"/>
      </w:pPr>
      <w:r w:rsidRPr="00B7126A">
        <w:t xml:space="preserve">The Performance and Remuneration committee </w:t>
      </w:r>
      <w:r w:rsidRPr="00B27F3E">
        <w:t xml:space="preserve">is chaired by Caroline Fawcett, </w:t>
      </w:r>
      <w:r w:rsidR="00CD4B82">
        <w:t>Senior</w:t>
      </w:r>
      <w:r w:rsidRPr="00B27F3E">
        <w:t xml:space="preserve"> </w:t>
      </w:r>
      <w:r w:rsidR="00CD4B82">
        <w:t>I</w:t>
      </w:r>
      <w:r w:rsidRPr="00B27F3E">
        <w:t xml:space="preserve">ndependent Non-Executive Director, and is composed entirely of NEDs and met </w:t>
      </w:r>
      <w:r w:rsidR="00116A10">
        <w:t>five</w:t>
      </w:r>
      <w:r w:rsidR="00B35633">
        <w:t xml:space="preserve"> </w:t>
      </w:r>
      <w:r w:rsidRPr="00B27F3E">
        <w:t>t</w:t>
      </w:r>
      <w:r w:rsidR="00B35633">
        <w:t>im</w:t>
      </w:r>
      <w:r w:rsidRPr="00B27F3E">
        <w:t>es during 202</w:t>
      </w:r>
      <w:r w:rsidR="00A35B90" w:rsidRPr="00B27F3E">
        <w:t>3</w:t>
      </w:r>
      <w:r w:rsidRPr="00B27F3E">
        <w:t>.</w:t>
      </w:r>
      <w:r w:rsidRPr="00B7126A">
        <w:t xml:space="preserve"> In these meetings, the committee, in carrying out its responsibility for overseeing the performance and remuneration arrangements of the Bank, discussed the performance of all Executive Directors and the Chair. </w:t>
      </w:r>
    </w:p>
    <w:p w14:paraId="12008492" w14:textId="2C0AF371" w:rsidR="002D3FFE" w:rsidRDefault="002D3FFE" w:rsidP="00835F78">
      <w:pPr>
        <w:spacing w:after="120" w:line="276" w:lineRule="auto"/>
        <w:jc w:val="both"/>
      </w:pPr>
      <w:r w:rsidRPr="00B7126A">
        <w:t>During the year</w:t>
      </w:r>
      <w:r w:rsidRPr="00B27F3E">
        <w:t>, the Committee reviewed and, where felt appropriate, approved the Bank’s profit share scheme</w:t>
      </w:r>
      <w:r w:rsidR="00385CF5" w:rsidRPr="00B27F3E">
        <w:t xml:space="preserve"> and</w:t>
      </w:r>
      <w:r w:rsidR="00385CF5" w:rsidRPr="00B7126A">
        <w:t xml:space="preserve"> the</w:t>
      </w:r>
      <w:r w:rsidRPr="00B7126A">
        <w:t xml:space="preserve"> sales and executive bonus schemes</w:t>
      </w:r>
      <w:r w:rsidR="00385CF5" w:rsidRPr="00B7126A">
        <w:t xml:space="preserve">, </w:t>
      </w:r>
      <w:r w:rsidRPr="00B7126A">
        <w:t>upon agreed metrics and performance criteria, as well as upon advice from the Bank’s auditors and risk function.  It also oversighted the annual pay review.  The Committee h</w:t>
      </w:r>
      <w:r w:rsidR="005667CE">
        <w:t>as followed the rules under the Re</w:t>
      </w:r>
      <w:r w:rsidR="004C19C9">
        <w:t>m</w:t>
      </w:r>
      <w:r w:rsidR="005667CE">
        <w:t>u</w:t>
      </w:r>
      <w:r w:rsidR="004C19C9">
        <w:t>n</w:t>
      </w:r>
      <w:r w:rsidR="005667CE">
        <w:t>eration section of the PRA Rulebook.</w:t>
      </w:r>
    </w:p>
    <w:p w14:paraId="7489104E" w14:textId="77777777" w:rsidR="00835F78" w:rsidRDefault="00835F78" w:rsidP="0006275C">
      <w:pPr>
        <w:jc w:val="both"/>
      </w:pPr>
    </w:p>
    <w:p w14:paraId="38EA933B" w14:textId="521E6EAF" w:rsidR="002D3FFE" w:rsidRDefault="002D3FFE" w:rsidP="0006275C">
      <w:pPr>
        <w:jc w:val="both"/>
        <w:rPr>
          <w:b/>
          <w:bCs/>
          <w:color w:val="4F81BD"/>
          <w:sz w:val="28"/>
          <w:szCs w:val="28"/>
        </w:rPr>
      </w:pPr>
      <w:r w:rsidRPr="00B81F46">
        <w:rPr>
          <w:b/>
          <w:bCs/>
          <w:color w:val="4F81BD"/>
          <w:sz w:val="28"/>
          <w:szCs w:val="28"/>
        </w:rPr>
        <w:t>Remuneration policy</w:t>
      </w:r>
    </w:p>
    <w:p w14:paraId="1A1F0F22" w14:textId="77777777" w:rsidR="002D3FFE" w:rsidRPr="00B81F46" w:rsidRDefault="002D3FFE" w:rsidP="0006275C">
      <w:pPr>
        <w:jc w:val="both"/>
        <w:rPr>
          <w:b/>
          <w:bCs/>
          <w:color w:val="4F81BD"/>
          <w:sz w:val="28"/>
          <w:szCs w:val="28"/>
        </w:rPr>
      </w:pPr>
    </w:p>
    <w:p w14:paraId="349456E1" w14:textId="77777777" w:rsidR="002D3FFE" w:rsidRPr="00856682" w:rsidRDefault="002D3FFE" w:rsidP="0006275C">
      <w:pPr>
        <w:jc w:val="both"/>
        <w:rPr>
          <w:b/>
          <w:bCs/>
          <w:color w:val="5B9BD5"/>
        </w:rPr>
      </w:pPr>
      <w:r w:rsidRPr="00856682">
        <w:rPr>
          <w:b/>
          <w:bCs/>
          <w:color w:val="5B9BD5"/>
        </w:rPr>
        <w:t>Purpose &amp; Objective</w:t>
      </w:r>
    </w:p>
    <w:p w14:paraId="39D5D32D" w14:textId="77777777" w:rsidR="002D3FFE" w:rsidRPr="00C46E05" w:rsidRDefault="002D3FFE" w:rsidP="00DB1BE0">
      <w:pPr>
        <w:pStyle w:val="ListParagraph"/>
        <w:spacing w:after="120" w:line="276" w:lineRule="auto"/>
        <w:ind w:left="0"/>
        <w:jc w:val="both"/>
      </w:pPr>
      <w:r w:rsidRPr="00B27F3E">
        <w:t>This policy describes the approach taken by Cambridge &amp; Counties Bank in relation to its management of remuneration and describes how it complies with the relevant requirements of the Financial Conduct Authority (FCA) remuneration code (SYSC 19D) and the Prudential Regulation Authority (PRA) rulebook.</w:t>
      </w:r>
      <w:r w:rsidRPr="00C46E05">
        <w:t xml:space="preserve"> </w:t>
      </w:r>
    </w:p>
    <w:p w14:paraId="5B132C3A" w14:textId="77777777" w:rsidR="002D3FFE" w:rsidRPr="00C46E05" w:rsidRDefault="002D3FFE" w:rsidP="00DB1BE0">
      <w:pPr>
        <w:pStyle w:val="ListParagraph"/>
        <w:spacing w:after="120" w:line="276" w:lineRule="auto"/>
        <w:ind w:left="0"/>
        <w:jc w:val="both"/>
      </w:pPr>
    </w:p>
    <w:p w14:paraId="0994A6D5" w14:textId="77777777" w:rsidR="002D3FFE" w:rsidRPr="00C46E05" w:rsidRDefault="002D3FFE" w:rsidP="00DB1BE0">
      <w:pPr>
        <w:pStyle w:val="ListParagraph"/>
        <w:spacing w:after="120" w:line="276" w:lineRule="auto"/>
        <w:ind w:left="0"/>
        <w:jc w:val="both"/>
      </w:pPr>
      <w:r w:rsidRPr="00C46E05">
        <w:t xml:space="preserve">The Board of Cambridge &amp; Counties Bank is committed to ensuring that the Bank has risk-focused remuneration policies, which are consistent with and promote effective risk management and do not expose the Bank to excessive risk.  </w:t>
      </w:r>
    </w:p>
    <w:p w14:paraId="26D0F33A" w14:textId="77777777" w:rsidR="002D3FFE" w:rsidRPr="00C46E05" w:rsidRDefault="002D3FFE" w:rsidP="00DB1BE0">
      <w:pPr>
        <w:pStyle w:val="ListParagraph"/>
        <w:spacing w:after="120" w:line="276" w:lineRule="auto"/>
        <w:ind w:left="0"/>
        <w:jc w:val="both"/>
      </w:pPr>
    </w:p>
    <w:p w14:paraId="390FB43D" w14:textId="3BC3B1AD" w:rsidR="002D3FFE" w:rsidRPr="004F349C" w:rsidRDefault="002D3FFE" w:rsidP="00DB1BE0">
      <w:pPr>
        <w:pStyle w:val="ListParagraph"/>
        <w:spacing w:after="120" w:line="276" w:lineRule="auto"/>
        <w:ind w:left="0"/>
        <w:jc w:val="both"/>
      </w:pPr>
      <w:r w:rsidRPr="00C46E05">
        <w:t xml:space="preserve">The purpose of this Remuneration Policy is to clearly document the policies, practices and procedures linked to salary, </w:t>
      </w:r>
      <w:r w:rsidR="001E4E1F" w:rsidRPr="00C46E05">
        <w:t>compensation,</w:t>
      </w:r>
      <w:r w:rsidRPr="00C46E05">
        <w:t xml:space="preserve"> and reward of employees.</w:t>
      </w:r>
      <w:r>
        <w:t xml:space="preserve"> </w:t>
      </w:r>
      <w:r w:rsidRPr="00C46E05">
        <w:t xml:space="preserve"> It is reviewed and approved annually by the Performance &amp; Remuneration Committee.</w:t>
      </w:r>
    </w:p>
    <w:p w14:paraId="522E5165" w14:textId="77777777" w:rsidR="00DB1BE0" w:rsidRDefault="00DB1BE0" w:rsidP="0006275C">
      <w:pPr>
        <w:jc w:val="both"/>
        <w:rPr>
          <w:b/>
          <w:bCs/>
          <w:color w:val="5B9BD5"/>
        </w:rPr>
      </w:pPr>
    </w:p>
    <w:p w14:paraId="2A825C88" w14:textId="5F6F76D2" w:rsidR="002D3FFE" w:rsidRPr="00856682" w:rsidRDefault="002D3FFE" w:rsidP="0006275C">
      <w:pPr>
        <w:jc w:val="both"/>
        <w:rPr>
          <w:b/>
          <w:bCs/>
          <w:color w:val="5B9BD5"/>
        </w:rPr>
      </w:pPr>
      <w:r w:rsidRPr="00856682">
        <w:rPr>
          <w:b/>
          <w:bCs/>
          <w:color w:val="5B9BD5"/>
        </w:rPr>
        <w:t>Policy Scope</w:t>
      </w:r>
    </w:p>
    <w:p w14:paraId="6624951C" w14:textId="2D04C209" w:rsidR="002D3FFE" w:rsidRPr="00C46E05" w:rsidRDefault="002D3FFE" w:rsidP="00DB1BE0">
      <w:pPr>
        <w:pStyle w:val="ListParagraph"/>
        <w:spacing w:after="120" w:line="276" w:lineRule="auto"/>
        <w:ind w:left="0"/>
        <w:jc w:val="both"/>
      </w:pPr>
      <w:r w:rsidRPr="00C46E05">
        <w:t>Th</w:t>
      </w:r>
      <w:r>
        <w:t>e</w:t>
      </w:r>
      <w:r w:rsidRPr="00C46E05">
        <w:t xml:space="preserve"> policy relates to the remuneration of all employees</w:t>
      </w:r>
      <w:r>
        <w:t>; it</w:t>
      </w:r>
      <w:r w:rsidRPr="00C46E05">
        <w:t xml:space="preserve"> covers both fixed </w:t>
      </w:r>
      <w:r>
        <w:t xml:space="preserve">(non-variable) </w:t>
      </w:r>
      <w:r w:rsidRPr="00C46E05">
        <w:t xml:space="preserve">and variable elements of pay and reward. Fixed elements are defined as salary, and allowances paid </w:t>
      </w:r>
      <w:proofErr w:type="gramStart"/>
      <w:r w:rsidRPr="00C46E05">
        <w:t>as a result of</w:t>
      </w:r>
      <w:proofErr w:type="gramEnd"/>
      <w:r w:rsidRPr="00C46E05">
        <w:t xml:space="preserve"> contractual obligations (</w:t>
      </w:r>
      <w:r w:rsidR="00C72C26" w:rsidRPr="00C46E05">
        <w:t>e.g.</w:t>
      </w:r>
      <w:r w:rsidRPr="00C46E05">
        <w:t xml:space="preserve"> car allowance, holiday pay, medical insurance</w:t>
      </w:r>
      <w:r>
        <w:t xml:space="preserve">, </w:t>
      </w:r>
      <w:r w:rsidR="001E4E1F">
        <w:t>pension,</w:t>
      </w:r>
      <w:r w:rsidRPr="00C46E05">
        <w:t xml:space="preserve"> and death in service). Variable elements consist of schemes designed to reward performance at both the corporate, team and individual level </w:t>
      </w:r>
      <w:r>
        <w:t>(</w:t>
      </w:r>
      <w:r w:rsidR="00C72C26">
        <w:t xml:space="preserve">e.g. </w:t>
      </w:r>
      <w:r>
        <w:t>Profit share, performance bonus schemes)</w:t>
      </w:r>
      <w:r w:rsidRPr="00C46E05">
        <w:t>.</w:t>
      </w:r>
    </w:p>
    <w:p w14:paraId="24794CDC" w14:textId="77777777" w:rsidR="002D3FFE" w:rsidRPr="00C46E05" w:rsidRDefault="002D3FFE" w:rsidP="00DB1BE0">
      <w:pPr>
        <w:pStyle w:val="ListParagraph"/>
        <w:spacing w:after="120" w:line="276" w:lineRule="auto"/>
        <w:ind w:left="0"/>
        <w:jc w:val="both"/>
      </w:pPr>
    </w:p>
    <w:p w14:paraId="5C8646CC" w14:textId="77777777" w:rsidR="002D3FFE" w:rsidRPr="00C46E05" w:rsidRDefault="002D3FFE" w:rsidP="00DB1BE0">
      <w:pPr>
        <w:pStyle w:val="ListParagraph"/>
        <w:spacing w:after="120" w:line="276" w:lineRule="auto"/>
        <w:ind w:left="0"/>
        <w:jc w:val="both"/>
      </w:pPr>
      <w:r w:rsidRPr="00C46E05">
        <w:t>Specific remuneration rules may apply to board members and employees, who, because of their function, may have a material impact on the risk profile of the Bank</w:t>
      </w:r>
      <w:r>
        <w:t>,</w:t>
      </w:r>
      <w:r w:rsidRPr="00C46E05">
        <w:t xml:space="preserve"> collectively referred to as “Material Risk Takers”.  </w:t>
      </w:r>
    </w:p>
    <w:p w14:paraId="2656E6C3" w14:textId="7BD34734" w:rsidR="002D3FFE" w:rsidRDefault="002D3FFE" w:rsidP="00DB1BE0">
      <w:pPr>
        <w:spacing w:line="276" w:lineRule="auto"/>
        <w:jc w:val="both"/>
      </w:pPr>
      <w:r>
        <w:t xml:space="preserve">The policy </w:t>
      </w:r>
      <w:r w:rsidRPr="002C3630">
        <w:t xml:space="preserve">also covers fees </w:t>
      </w:r>
      <w:r>
        <w:t>paid</w:t>
      </w:r>
      <w:r w:rsidRPr="002C3630">
        <w:t xml:space="preserve"> to </w:t>
      </w:r>
      <w:r w:rsidR="00860C24">
        <w:t>N</w:t>
      </w:r>
      <w:r w:rsidRPr="002C3630">
        <w:t>on-</w:t>
      </w:r>
      <w:r w:rsidR="00860C24">
        <w:t>E</w:t>
      </w:r>
      <w:r w:rsidRPr="002C3630">
        <w:t xml:space="preserve">xecutive </w:t>
      </w:r>
      <w:r w:rsidR="00860C24">
        <w:t>D</w:t>
      </w:r>
      <w:r w:rsidRPr="002C3630">
        <w:t>irectors</w:t>
      </w:r>
      <w:r>
        <w:t>.</w:t>
      </w:r>
    </w:p>
    <w:p w14:paraId="6EDF9AD5" w14:textId="1944949E" w:rsidR="002D3FFE" w:rsidRDefault="002D3FFE" w:rsidP="0006275C">
      <w:pPr>
        <w:jc w:val="both"/>
      </w:pPr>
    </w:p>
    <w:p w14:paraId="6178BD99" w14:textId="77777777" w:rsidR="000D7FCA" w:rsidRDefault="000D7FCA" w:rsidP="000D7FCA">
      <w:pPr>
        <w:jc w:val="both"/>
        <w:rPr>
          <w:b/>
          <w:bCs/>
          <w:color w:val="5B9BD5"/>
        </w:rPr>
      </w:pPr>
    </w:p>
    <w:p w14:paraId="74BC73C0" w14:textId="77777777" w:rsidR="000D7FCA" w:rsidRDefault="000D7FCA" w:rsidP="000D7FCA">
      <w:pPr>
        <w:jc w:val="both"/>
        <w:rPr>
          <w:b/>
          <w:bCs/>
          <w:color w:val="5B9BD5"/>
        </w:rPr>
      </w:pPr>
    </w:p>
    <w:p w14:paraId="3EBEE953" w14:textId="77777777" w:rsidR="000D7FCA" w:rsidRDefault="000D7FCA" w:rsidP="000D7FCA">
      <w:pPr>
        <w:jc w:val="both"/>
        <w:rPr>
          <w:b/>
          <w:bCs/>
          <w:color w:val="5B9BD5"/>
        </w:rPr>
      </w:pPr>
    </w:p>
    <w:p w14:paraId="2B67E805" w14:textId="547923AC" w:rsidR="002D3FFE" w:rsidRPr="000D7FCA" w:rsidRDefault="002D3FFE" w:rsidP="002E5B3A">
      <w:pPr>
        <w:spacing w:line="276" w:lineRule="auto"/>
        <w:jc w:val="both"/>
      </w:pPr>
      <w:r w:rsidRPr="000D7FCA">
        <w:t>The policy is to:</w:t>
      </w:r>
    </w:p>
    <w:p w14:paraId="1AB0982E" w14:textId="1E718743" w:rsidR="00734134" w:rsidRPr="00235788" w:rsidRDefault="00734134" w:rsidP="002E5B3A">
      <w:pPr>
        <w:pStyle w:val="ListParagraph"/>
        <w:numPr>
          <w:ilvl w:val="0"/>
          <w:numId w:val="43"/>
        </w:numPr>
        <w:spacing w:after="120" w:line="276" w:lineRule="auto"/>
        <w:jc w:val="both"/>
        <w:rPr>
          <w:color w:val="000000" w:themeColor="text1"/>
        </w:rPr>
      </w:pPr>
      <w:r w:rsidRPr="00235788">
        <w:rPr>
          <w:color w:val="000000" w:themeColor="text1"/>
        </w:rPr>
        <w:lastRenderedPageBreak/>
        <w:t>Attract, develop</w:t>
      </w:r>
      <w:r>
        <w:rPr>
          <w:color w:val="000000" w:themeColor="text1"/>
        </w:rPr>
        <w:t>,</w:t>
      </w:r>
      <w:r w:rsidRPr="00235788">
        <w:rPr>
          <w:color w:val="000000" w:themeColor="text1"/>
        </w:rPr>
        <w:t xml:space="preserve"> and retain high performing people with the ability, experience</w:t>
      </w:r>
      <w:r>
        <w:rPr>
          <w:color w:val="000000" w:themeColor="text1"/>
        </w:rPr>
        <w:t>,</w:t>
      </w:r>
      <w:r w:rsidRPr="00235788">
        <w:rPr>
          <w:color w:val="000000" w:themeColor="text1"/>
        </w:rPr>
        <w:t xml:space="preserve"> and skill to deliver the business strategy and objectives</w:t>
      </w:r>
      <w:r w:rsidR="00AD4D44">
        <w:rPr>
          <w:color w:val="000000" w:themeColor="text1"/>
        </w:rPr>
        <w:t>;</w:t>
      </w:r>
      <w:r w:rsidRPr="00235788">
        <w:rPr>
          <w:color w:val="000000" w:themeColor="text1"/>
        </w:rPr>
        <w:t xml:space="preserve">  </w:t>
      </w:r>
    </w:p>
    <w:p w14:paraId="03CAD06A" w14:textId="43F18419" w:rsidR="00734134" w:rsidRPr="00235788" w:rsidRDefault="00734134" w:rsidP="002E5B3A">
      <w:pPr>
        <w:pStyle w:val="ListParagraph"/>
        <w:numPr>
          <w:ilvl w:val="0"/>
          <w:numId w:val="43"/>
        </w:numPr>
        <w:spacing w:after="120" w:line="276" w:lineRule="auto"/>
        <w:jc w:val="both"/>
        <w:rPr>
          <w:color w:val="000000" w:themeColor="text1"/>
        </w:rPr>
      </w:pPr>
      <w:r w:rsidRPr="00235788">
        <w:rPr>
          <w:color w:val="000000" w:themeColor="text1"/>
        </w:rPr>
        <w:t>Offer competitive and market aligned remuneration packages in which fixed salaries are the significant component</w:t>
      </w:r>
      <w:r w:rsidR="00AD4D44">
        <w:rPr>
          <w:color w:val="000000" w:themeColor="text1"/>
        </w:rPr>
        <w:t>;</w:t>
      </w:r>
    </w:p>
    <w:p w14:paraId="16AA32B9" w14:textId="58BC532A" w:rsidR="00734134" w:rsidRPr="00235788" w:rsidRDefault="00734134" w:rsidP="002E5B3A">
      <w:pPr>
        <w:pStyle w:val="ListParagraph"/>
        <w:numPr>
          <w:ilvl w:val="0"/>
          <w:numId w:val="43"/>
        </w:numPr>
        <w:spacing w:after="120" w:line="276" w:lineRule="auto"/>
        <w:jc w:val="both"/>
        <w:rPr>
          <w:color w:val="000000" w:themeColor="text1"/>
        </w:rPr>
      </w:pPr>
      <w:r w:rsidRPr="00235788">
        <w:rPr>
          <w:color w:val="000000" w:themeColor="text1"/>
        </w:rPr>
        <w:t>Encourage and incentivise employees to create sustainable results, which are consistent with strategic goals and appropriate risk management, and align the interests of the Bank’s shareholders, customers, employees</w:t>
      </w:r>
      <w:r>
        <w:rPr>
          <w:color w:val="000000" w:themeColor="text1"/>
        </w:rPr>
        <w:t>,</w:t>
      </w:r>
      <w:r w:rsidRPr="00235788">
        <w:rPr>
          <w:color w:val="000000" w:themeColor="text1"/>
        </w:rPr>
        <w:t xml:space="preserve"> and other key stakeholders</w:t>
      </w:r>
      <w:r w:rsidR="00AD4D44">
        <w:rPr>
          <w:color w:val="000000" w:themeColor="text1"/>
        </w:rPr>
        <w:t>; and</w:t>
      </w:r>
    </w:p>
    <w:p w14:paraId="1A68B03C" w14:textId="77777777" w:rsidR="00734134" w:rsidRPr="00235788" w:rsidRDefault="00734134" w:rsidP="002E5B3A">
      <w:pPr>
        <w:pStyle w:val="ListParagraph"/>
        <w:numPr>
          <w:ilvl w:val="0"/>
          <w:numId w:val="43"/>
        </w:numPr>
        <w:spacing w:after="120" w:line="276" w:lineRule="auto"/>
        <w:jc w:val="both"/>
        <w:rPr>
          <w:color w:val="000000" w:themeColor="text1"/>
        </w:rPr>
      </w:pPr>
      <w:r w:rsidRPr="00235788">
        <w:rPr>
          <w:color w:val="000000" w:themeColor="text1"/>
        </w:rPr>
        <w:t>Drive behaviour consistent with the Bank’s values so that employees do what is right for the customer, for colleagues, the Bank</w:t>
      </w:r>
      <w:r>
        <w:rPr>
          <w:color w:val="000000" w:themeColor="text1"/>
        </w:rPr>
        <w:t>,</w:t>
      </w:r>
      <w:r w:rsidRPr="00235788">
        <w:rPr>
          <w:color w:val="000000" w:themeColor="text1"/>
        </w:rPr>
        <w:t xml:space="preserve"> and other stakeholders</w:t>
      </w:r>
      <w:r>
        <w:rPr>
          <w:color w:val="000000" w:themeColor="text1"/>
        </w:rPr>
        <w:t>.</w:t>
      </w:r>
    </w:p>
    <w:p w14:paraId="5A719D9F" w14:textId="44A8C541" w:rsidR="002D3FFE" w:rsidRPr="000D7FCA" w:rsidRDefault="002D3FFE" w:rsidP="00B35633">
      <w:pPr>
        <w:spacing w:after="120" w:line="276" w:lineRule="auto"/>
        <w:jc w:val="both"/>
        <w:rPr>
          <w:rStyle w:val="Strong"/>
          <w:b w:val="0"/>
          <w:bCs w:val="0"/>
        </w:rPr>
      </w:pPr>
      <w:r w:rsidRPr="00EA3EFC">
        <w:rPr>
          <w:rStyle w:val="Strong"/>
          <w:b w:val="0"/>
          <w:bCs w:val="0"/>
        </w:rPr>
        <w:t>The remuneration policy and structure are consistent with the Bank’s long-term strategy including the overall business strategy, the risk strategy, and the Board’s risk appetite across all types of risk including credit, market, operational,</w:t>
      </w:r>
      <w:r w:rsidR="00AD4D44">
        <w:rPr>
          <w:rStyle w:val="Strong"/>
          <w:b w:val="0"/>
          <w:bCs w:val="0"/>
        </w:rPr>
        <w:t xml:space="preserve"> capital and</w:t>
      </w:r>
      <w:r w:rsidRPr="00EA3EFC">
        <w:rPr>
          <w:rStyle w:val="Strong"/>
          <w:b w:val="0"/>
          <w:bCs w:val="0"/>
        </w:rPr>
        <w:t xml:space="preserve"> liquidity, reputational and other risks identified by the Bank. </w:t>
      </w:r>
      <w:r w:rsidRPr="000D7FCA">
        <w:rPr>
          <w:rStyle w:val="Strong"/>
          <w:b w:val="0"/>
          <w:bCs w:val="0"/>
        </w:rPr>
        <w:t xml:space="preserve">This is achieved through the application of the following </w:t>
      </w:r>
      <w:r w:rsidR="007B421A" w:rsidRPr="000D7FCA">
        <w:rPr>
          <w:rStyle w:val="Strong"/>
          <w:b w:val="0"/>
          <w:bCs w:val="0"/>
        </w:rPr>
        <w:t>six</w:t>
      </w:r>
      <w:r w:rsidRPr="000D7FCA">
        <w:rPr>
          <w:rStyle w:val="Strong"/>
          <w:b w:val="0"/>
          <w:bCs w:val="0"/>
        </w:rPr>
        <w:t xml:space="preserve"> principles which are adhered to when designing or implementing any aspect of remuneration:</w:t>
      </w:r>
    </w:p>
    <w:p w14:paraId="7832F18F" w14:textId="54BB11ED" w:rsidR="00AF5A8D" w:rsidRPr="000D7FCA" w:rsidRDefault="00AF5A8D" w:rsidP="002E5B3A">
      <w:pPr>
        <w:pStyle w:val="ListParagraph"/>
        <w:numPr>
          <w:ilvl w:val="0"/>
          <w:numId w:val="40"/>
        </w:numPr>
        <w:spacing w:after="120" w:line="276" w:lineRule="auto"/>
        <w:jc w:val="both"/>
        <w:rPr>
          <w:rStyle w:val="Strong"/>
          <w:b w:val="0"/>
          <w:bCs w:val="0"/>
        </w:rPr>
      </w:pPr>
      <w:r w:rsidRPr="000D7FCA">
        <w:rPr>
          <w:rStyle w:val="Strong"/>
          <w:b w:val="0"/>
          <w:bCs w:val="0"/>
        </w:rPr>
        <w:t>We offer a competitive total reward package that is designed to be motivating and compelling and is regularly reviewed against market rates</w:t>
      </w:r>
      <w:r w:rsidR="00863BDF">
        <w:rPr>
          <w:rStyle w:val="Strong"/>
          <w:b w:val="0"/>
          <w:bCs w:val="0"/>
        </w:rPr>
        <w:t>;</w:t>
      </w:r>
    </w:p>
    <w:p w14:paraId="5569EDF7" w14:textId="7B5426FA" w:rsidR="00AF5A8D" w:rsidRPr="000D7FCA" w:rsidRDefault="00AF5A8D" w:rsidP="002E5B3A">
      <w:pPr>
        <w:pStyle w:val="ListParagraph"/>
        <w:numPr>
          <w:ilvl w:val="0"/>
          <w:numId w:val="40"/>
        </w:numPr>
        <w:spacing w:after="120" w:line="276" w:lineRule="auto"/>
        <w:jc w:val="both"/>
        <w:rPr>
          <w:rStyle w:val="Strong"/>
          <w:b w:val="0"/>
          <w:bCs w:val="0"/>
        </w:rPr>
      </w:pPr>
      <w:r w:rsidRPr="000D7FCA">
        <w:rPr>
          <w:rStyle w:val="Strong"/>
          <w:b w:val="0"/>
          <w:bCs w:val="0"/>
        </w:rPr>
        <w:t>Reward is linked to employees’ behaviours and values as well as achievement: the ‘how’ as well as the ‘what’</w:t>
      </w:r>
      <w:r w:rsidR="00863BDF">
        <w:rPr>
          <w:rStyle w:val="Strong"/>
          <w:b w:val="0"/>
          <w:bCs w:val="0"/>
        </w:rPr>
        <w:t>;</w:t>
      </w:r>
    </w:p>
    <w:p w14:paraId="5BDAEFAD" w14:textId="47D3D872" w:rsidR="00AF5A8D" w:rsidRPr="000D7FCA" w:rsidRDefault="00AF5A8D" w:rsidP="002E5B3A">
      <w:pPr>
        <w:pStyle w:val="ListParagraph"/>
        <w:numPr>
          <w:ilvl w:val="0"/>
          <w:numId w:val="40"/>
        </w:numPr>
        <w:spacing w:after="120" w:line="276" w:lineRule="auto"/>
        <w:jc w:val="both"/>
        <w:rPr>
          <w:rStyle w:val="Strong"/>
          <w:b w:val="0"/>
          <w:bCs w:val="0"/>
        </w:rPr>
      </w:pPr>
      <w:r w:rsidRPr="000D7FCA">
        <w:rPr>
          <w:rStyle w:val="Strong"/>
          <w:b w:val="0"/>
          <w:bCs w:val="0"/>
        </w:rPr>
        <w:t>Our remuneration structures are straightforward; as such they are transparent, communicated and understood by all employees and all our stakeholders</w:t>
      </w:r>
      <w:r w:rsidR="00863BDF">
        <w:rPr>
          <w:rStyle w:val="Strong"/>
          <w:b w:val="0"/>
          <w:bCs w:val="0"/>
        </w:rPr>
        <w:t>;</w:t>
      </w:r>
    </w:p>
    <w:p w14:paraId="79299C9B" w14:textId="5A961646" w:rsidR="00AF5A8D" w:rsidRPr="000D7FCA" w:rsidRDefault="00AF5A8D" w:rsidP="002E5B3A">
      <w:pPr>
        <w:pStyle w:val="ListParagraph"/>
        <w:numPr>
          <w:ilvl w:val="0"/>
          <w:numId w:val="40"/>
        </w:numPr>
        <w:spacing w:after="120" w:line="276" w:lineRule="auto"/>
        <w:jc w:val="both"/>
        <w:rPr>
          <w:rStyle w:val="Strong"/>
          <w:b w:val="0"/>
          <w:bCs w:val="0"/>
        </w:rPr>
      </w:pPr>
      <w:r w:rsidRPr="000D7FCA">
        <w:rPr>
          <w:rStyle w:val="Strong"/>
          <w:b w:val="0"/>
          <w:bCs w:val="0"/>
        </w:rPr>
        <w:t>There is a clear link between business, team and individual performance and reward, and people can explain when and why adjustments for performance have been applied</w:t>
      </w:r>
      <w:r w:rsidR="00863BDF">
        <w:rPr>
          <w:rStyle w:val="Strong"/>
          <w:b w:val="0"/>
          <w:bCs w:val="0"/>
        </w:rPr>
        <w:t>;</w:t>
      </w:r>
    </w:p>
    <w:p w14:paraId="615F33F1" w14:textId="0FB1F128" w:rsidR="00A253F2" w:rsidRPr="000D7FCA" w:rsidRDefault="00AF5A8D" w:rsidP="002E5B3A">
      <w:pPr>
        <w:pStyle w:val="ListParagraph"/>
        <w:numPr>
          <w:ilvl w:val="0"/>
          <w:numId w:val="40"/>
        </w:numPr>
        <w:spacing w:after="120" w:line="276" w:lineRule="auto"/>
        <w:jc w:val="both"/>
        <w:rPr>
          <w:rStyle w:val="Strong"/>
          <w:b w:val="0"/>
          <w:bCs w:val="0"/>
        </w:rPr>
      </w:pPr>
      <w:r w:rsidRPr="000D7FCA">
        <w:rPr>
          <w:rStyle w:val="Strong"/>
          <w:b w:val="0"/>
          <w:bCs w:val="0"/>
        </w:rPr>
        <w:t xml:space="preserve">Our remuneration practices are consistent with and promote sound and effective risk management and are fully compliant with all appropriate governance, regulatory </w:t>
      </w:r>
      <w:r w:rsidR="00A36887" w:rsidRPr="000D7FCA">
        <w:rPr>
          <w:rStyle w:val="Strong"/>
          <w:b w:val="0"/>
          <w:bCs w:val="0"/>
        </w:rPr>
        <w:t>requirements,</w:t>
      </w:r>
      <w:r w:rsidRPr="000D7FCA">
        <w:rPr>
          <w:rStyle w:val="Strong"/>
          <w:b w:val="0"/>
          <w:bCs w:val="0"/>
        </w:rPr>
        <w:t xml:space="preserve"> and codes of practice</w:t>
      </w:r>
      <w:r w:rsidR="00863BDF">
        <w:rPr>
          <w:rStyle w:val="Strong"/>
          <w:b w:val="0"/>
          <w:bCs w:val="0"/>
        </w:rPr>
        <w:t>; and</w:t>
      </w:r>
    </w:p>
    <w:p w14:paraId="2CA0D6FE" w14:textId="38589EE5" w:rsidR="002B1B60" w:rsidRPr="000D7FCA" w:rsidRDefault="00AF5A8D" w:rsidP="002E5B3A">
      <w:pPr>
        <w:pStyle w:val="ListParagraph"/>
        <w:numPr>
          <w:ilvl w:val="0"/>
          <w:numId w:val="40"/>
        </w:numPr>
        <w:spacing w:after="120" w:line="276" w:lineRule="auto"/>
        <w:jc w:val="both"/>
        <w:rPr>
          <w:rStyle w:val="Strong"/>
          <w:b w:val="0"/>
          <w:bCs w:val="0"/>
        </w:rPr>
      </w:pPr>
      <w:r w:rsidRPr="000D7FCA">
        <w:rPr>
          <w:rStyle w:val="Strong"/>
          <w:b w:val="0"/>
          <w:bCs w:val="0"/>
        </w:rPr>
        <w:t xml:space="preserve">Our remuneration policies, packages and processes are designed to be affordable, </w:t>
      </w:r>
      <w:r w:rsidR="00A36887" w:rsidRPr="000D7FCA">
        <w:rPr>
          <w:rStyle w:val="Strong"/>
          <w:b w:val="0"/>
          <w:bCs w:val="0"/>
        </w:rPr>
        <w:t>consistent,</w:t>
      </w:r>
      <w:r w:rsidRPr="000D7FCA">
        <w:rPr>
          <w:rStyle w:val="Strong"/>
          <w:b w:val="0"/>
          <w:bCs w:val="0"/>
        </w:rPr>
        <w:t xml:space="preserve"> and efficient, and do not limit the Bank’s ability to strengthen its capital base</w:t>
      </w:r>
      <w:r w:rsidR="00502C98" w:rsidRPr="000D7FCA">
        <w:rPr>
          <w:rStyle w:val="Strong"/>
          <w:b w:val="0"/>
          <w:bCs w:val="0"/>
        </w:rPr>
        <w:t>.</w:t>
      </w:r>
    </w:p>
    <w:p w14:paraId="600F6B68" w14:textId="6D73A2EA" w:rsidR="002D3FFE" w:rsidRPr="00856682" w:rsidRDefault="002D3FFE" w:rsidP="00734134">
      <w:pPr>
        <w:pStyle w:val="Heading2"/>
      </w:pPr>
      <w:r w:rsidRPr="00856682">
        <w:t>Governance</w:t>
      </w:r>
    </w:p>
    <w:p w14:paraId="4FFBBC35" w14:textId="695F114D" w:rsidR="002D3FFE" w:rsidRPr="00C46E05" w:rsidRDefault="002D3FFE" w:rsidP="00A97C56">
      <w:pPr>
        <w:spacing w:line="276" w:lineRule="auto"/>
        <w:jc w:val="both"/>
      </w:pPr>
      <w:r w:rsidRPr="00C46E05">
        <w:t>The Board of Directors has established a Performance &amp; Remuneration Committee, which:</w:t>
      </w:r>
    </w:p>
    <w:p w14:paraId="22ADE5AB" w14:textId="2FCE9C5E" w:rsidR="00295264" w:rsidRDefault="002D3FFE" w:rsidP="00295264">
      <w:pPr>
        <w:pStyle w:val="ListParagraph"/>
        <w:numPr>
          <w:ilvl w:val="0"/>
          <w:numId w:val="45"/>
        </w:numPr>
        <w:spacing w:line="276" w:lineRule="auto"/>
        <w:jc w:val="both"/>
      </w:pPr>
      <w:r w:rsidRPr="00C46E05">
        <w:t xml:space="preserve">exercises independent judgment on remuneration policies, </w:t>
      </w:r>
      <w:r w:rsidR="00A36887" w:rsidRPr="00C46E05">
        <w:t>practices,</w:t>
      </w:r>
      <w:r w:rsidRPr="00C46E05">
        <w:t xml:space="preserve"> and recommendations of the Executive</w:t>
      </w:r>
      <w:r>
        <w:t>;</w:t>
      </w:r>
    </w:p>
    <w:p w14:paraId="774E3FEE" w14:textId="1308AB8D" w:rsidR="00295264" w:rsidRDefault="002D3FFE" w:rsidP="00295264">
      <w:pPr>
        <w:pStyle w:val="ListParagraph"/>
        <w:numPr>
          <w:ilvl w:val="0"/>
          <w:numId w:val="45"/>
        </w:numPr>
        <w:spacing w:line="276" w:lineRule="auto"/>
        <w:jc w:val="both"/>
      </w:pPr>
      <w:r w:rsidRPr="00C46E05">
        <w:t xml:space="preserve">ensures compliance with this policy, </w:t>
      </w:r>
      <w:r w:rsidR="00A36887" w:rsidRPr="00C46E05">
        <w:t>regulations,</w:t>
      </w:r>
      <w:r w:rsidRPr="00C46E05">
        <w:t xml:space="preserve"> and statutory duties</w:t>
      </w:r>
      <w:r>
        <w:t>;</w:t>
      </w:r>
      <w:r w:rsidRPr="00C46E05">
        <w:t xml:space="preserve"> </w:t>
      </w:r>
    </w:p>
    <w:p w14:paraId="1F4B57D2" w14:textId="77777777" w:rsidR="00295264" w:rsidRDefault="002D3FFE" w:rsidP="00295264">
      <w:pPr>
        <w:pStyle w:val="ListParagraph"/>
        <w:numPr>
          <w:ilvl w:val="0"/>
          <w:numId w:val="45"/>
        </w:numPr>
        <w:spacing w:line="276" w:lineRule="auto"/>
        <w:jc w:val="both"/>
      </w:pPr>
      <w:r w:rsidRPr="00C46E05">
        <w:t>advises on remuneration policies and practices generally</w:t>
      </w:r>
      <w:r>
        <w:t>;</w:t>
      </w:r>
    </w:p>
    <w:p w14:paraId="5EA6B94C" w14:textId="3800DE6E" w:rsidR="00295264" w:rsidRDefault="002D3FFE" w:rsidP="00295264">
      <w:pPr>
        <w:pStyle w:val="ListParagraph"/>
        <w:numPr>
          <w:ilvl w:val="0"/>
          <w:numId w:val="45"/>
        </w:numPr>
        <w:spacing w:line="276" w:lineRule="auto"/>
        <w:jc w:val="both"/>
      </w:pPr>
      <w:r w:rsidRPr="00C46E05">
        <w:t xml:space="preserve">provides specific recommendations on remuneration packages and other terms of employment for </w:t>
      </w:r>
      <w:r w:rsidR="00860C24">
        <w:t>E</w:t>
      </w:r>
      <w:r w:rsidRPr="00C46E05">
        <w:t xml:space="preserve">xecutive </w:t>
      </w:r>
      <w:r w:rsidR="00860C24">
        <w:t>D</w:t>
      </w:r>
      <w:r w:rsidRPr="00C46E05">
        <w:t>irectors</w:t>
      </w:r>
      <w:r>
        <w:t>;</w:t>
      </w:r>
      <w:r w:rsidRPr="00C46E05">
        <w:t xml:space="preserve"> </w:t>
      </w:r>
      <w:r w:rsidR="00863BDF">
        <w:t>and</w:t>
      </w:r>
    </w:p>
    <w:p w14:paraId="5EB544B7" w14:textId="41E08DA5" w:rsidR="002D3FFE" w:rsidRPr="00C46E05" w:rsidRDefault="002D3FFE" w:rsidP="00295264">
      <w:pPr>
        <w:pStyle w:val="ListParagraph"/>
        <w:numPr>
          <w:ilvl w:val="0"/>
          <w:numId w:val="45"/>
        </w:numPr>
        <w:spacing w:line="276" w:lineRule="auto"/>
        <w:jc w:val="both"/>
      </w:pPr>
      <w:r w:rsidRPr="00C46E05">
        <w:t xml:space="preserve">considers the implications of remuneration policy and practices on management risk, </w:t>
      </w:r>
      <w:proofErr w:type="gramStart"/>
      <w:r w:rsidRPr="00C46E05">
        <w:t>capital</w:t>
      </w:r>
      <w:proofErr w:type="gramEnd"/>
      <w:r w:rsidRPr="00C46E05">
        <w:t xml:space="preserve"> and liquidity</w:t>
      </w:r>
      <w:r>
        <w:t>.</w:t>
      </w:r>
    </w:p>
    <w:p w14:paraId="6B1A0DCC" w14:textId="77777777" w:rsidR="002D3FFE" w:rsidRPr="00C46E05" w:rsidRDefault="002D3FFE" w:rsidP="00A97C56">
      <w:pPr>
        <w:spacing w:line="276" w:lineRule="auto"/>
        <w:jc w:val="both"/>
      </w:pPr>
    </w:p>
    <w:p w14:paraId="77BA2CFA" w14:textId="4F7419EA" w:rsidR="002D3FFE" w:rsidRDefault="002D3FFE" w:rsidP="00A97C56">
      <w:pPr>
        <w:spacing w:line="276" w:lineRule="auto"/>
        <w:jc w:val="both"/>
      </w:pPr>
      <w:r w:rsidRPr="00C46E05">
        <w:t xml:space="preserve">The Performance &amp; Remuneration Committee is made up of </w:t>
      </w:r>
      <w:r>
        <w:t>N</w:t>
      </w:r>
      <w:r w:rsidRPr="00C46E05">
        <w:t>on-</w:t>
      </w:r>
      <w:r>
        <w:t>E</w:t>
      </w:r>
      <w:r w:rsidRPr="00C46E05">
        <w:t xml:space="preserve">xecutive </w:t>
      </w:r>
      <w:r>
        <w:t>D</w:t>
      </w:r>
      <w:r w:rsidRPr="00C46E05">
        <w:t xml:space="preserve">irectors and shareholder representatives. </w:t>
      </w:r>
      <w:r>
        <w:t xml:space="preserve"> </w:t>
      </w:r>
      <w:r w:rsidRPr="00C46E05">
        <w:t xml:space="preserve">The Chief Executive Officer, </w:t>
      </w:r>
      <w:r>
        <w:t>Chief People Officer</w:t>
      </w:r>
      <w:r w:rsidRPr="00C46E05">
        <w:t xml:space="preserve"> and </w:t>
      </w:r>
      <w:r>
        <w:t>General Counsel</w:t>
      </w:r>
      <w:r w:rsidRPr="00C46E05">
        <w:t xml:space="preserve"> are attendees. </w:t>
      </w:r>
      <w:r>
        <w:t xml:space="preserve"> </w:t>
      </w:r>
      <w:r w:rsidRPr="00C46E05">
        <w:t xml:space="preserve">The full description of </w:t>
      </w:r>
      <w:r>
        <w:t>the Committee’s</w:t>
      </w:r>
      <w:r w:rsidRPr="00C46E05">
        <w:t xml:space="preserve"> composition, tasks and authority are available in </w:t>
      </w:r>
      <w:r>
        <w:t>its</w:t>
      </w:r>
      <w:r w:rsidRPr="00C46E05">
        <w:t xml:space="preserve"> Terms of Reference.</w:t>
      </w:r>
      <w:r>
        <w:t xml:space="preserve"> </w:t>
      </w:r>
      <w:r w:rsidRPr="00C46E05">
        <w:t xml:space="preserve"> </w:t>
      </w:r>
    </w:p>
    <w:p w14:paraId="5A385F1F" w14:textId="77777777" w:rsidR="000A2E46" w:rsidRPr="00C46E05" w:rsidRDefault="000A2E46" w:rsidP="00A97C56">
      <w:pPr>
        <w:spacing w:line="276" w:lineRule="auto"/>
        <w:jc w:val="both"/>
      </w:pPr>
    </w:p>
    <w:p w14:paraId="3C5C63AA" w14:textId="77777777" w:rsidR="002D3FFE" w:rsidRDefault="002D3FFE" w:rsidP="00A97C56">
      <w:pPr>
        <w:spacing w:line="276" w:lineRule="auto"/>
        <w:jc w:val="both"/>
      </w:pPr>
      <w:r w:rsidRPr="00C46E05">
        <w:t>It is inbuilt to the remuneration review process that the Bank’s</w:t>
      </w:r>
      <w:r>
        <w:t xml:space="preserve"> Risk and </w:t>
      </w:r>
      <w:r w:rsidRPr="00C46E05">
        <w:t>Compliance function is able to provide challenge to bonus and incentive payments where it feels</w:t>
      </w:r>
      <w:r>
        <w:t xml:space="preserve"> individuals </w:t>
      </w:r>
      <w:r w:rsidRPr="00C46E05">
        <w:t xml:space="preserve">may be rewarded for poor risk behaviours; this is achieved through </w:t>
      </w:r>
      <w:r>
        <w:t xml:space="preserve">the </w:t>
      </w:r>
      <w:r w:rsidRPr="00C46E05">
        <w:t>Chief Risk Officer</w:t>
      </w:r>
      <w:r>
        <w:t>’s</w:t>
      </w:r>
      <w:r w:rsidRPr="00C46E05">
        <w:t xml:space="preserve"> (CRO) report</w:t>
      </w:r>
      <w:r>
        <w:t xml:space="preserve"> to the Performance &amp; Remuneration Committee,</w:t>
      </w:r>
      <w:r w:rsidRPr="00C46E05">
        <w:t xml:space="preserve"> inclusion of the CRO in calibration and approval meetings, and the membership of the Chair of Risk on the Performance &amp; Remuneration Committee. </w:t>
      </w:r>
    </w:p>
    <w:p w14:paraId="5FCDB467" w14:textId="77777777" w:rsidR="002D3FFE" w:rsidRPr="00856682" w:rsidRDefault="002D3FFE" w:rsidP="00734134">
      <w:pPr>
        <w:pStyle w:val="Heading2"/>
      </w:pPr>
      <w:r w:rsidRPr="00856682">
        <w:lastRenderedPageBreak/>
        <w:t>Malus and Clawback</w:t>
      </w:r>
    </w:p>
    <w:p w14:paraId="718ECC20" w14:textId="77777777" w:rsidR="002D3FFE" w:rsidRDefault="002D3FFE" w:rsidP="002E5B3A">
      <w:pPr>
        <w:pStyle w:val="ListParagraph"/>
        <w:spacing w:after="120" w:line="276" w:lineRule="auto"/>
        <w:ind w:left="0"/>
        <w:jc w:val="both"/>
      </w:pPr>
      <w:r>
        <w:t>Malus means the reduction and /or cancellation of unpaid, unvested, or unsettled variable amounts of remuneration when a Trigger Event is discovered, and the Board seeks to fulfil its fiduciary duty to shareholders by invoking its discretion to reduce and/or cancel a variable remuneration amount.</w:t>
      </w:r>
    </w:p>
    <w:p w14:paraId="0E39D95F" w14:textId="77777777" w:rsidR="002D3FFE" w:rsidRDefault="002D3FFE" w:rsidP="002E5B3A">
      <w:pPr>
        <w:pStyle w:val="ListParagraph"/>
        <w:spacing w:after="120" w:line="276" w:lineRule="auto"/>
        <w:ind w:left="0"/>
        <w:jc w:val="both"/>
      </w:pPr>
    </w:p>
    <w:p w14:paraId="5C54BACC" w14:textId="77777777" w:rsidR="002D3FFE" w:rsidRDefault="002D3FFE" w:rsidP="002E5B3A">
      <w:pPr>
        <w:pStyle w:val="ListParagraph"/>
        <w:spacing w:after="120" w:line="276" w:lineRule="auto"/>
        <w:ind w:left="0"/>
        <w:jc w:val="both"/>
      </w:pPr>
      <w:r>
        <w:t>Clawback means when incentive remuneration has already vested, been settled, paid, or otherwise made available, and a Trigger Event occurs which indicates an error in the calculation of an individual’s remuneration, and the Board seeks to fulfil its fiduciary duty to shareholders by invoking its discretion to recoup all or part of a variable remuneration amount.</w:t>
      </w:r>
    </w:p>
    <w:p w14:paraId="398F012C" w14:textId="269EB44C" w:rsidR="002D3FFE" w:rsidRDefault="002D3FFE" w:rsidP="0006275C">
      <w:pPr>
        <w:pStyle w:val="ListParagraph"/>
        <w:spacing w:after="120"/>
        <w:ind w:left="0"/>
        <w:jc w:val="both"/>
      </w:pPr>
    </w:p>
    <w:p w14:paraId="69DC7669" w14:textId="77777777" w:rsidR="002D3FFE" w:rsidRPr="00856682" w:rsidRDefault="002D3FFE" w:rsidP="00734134">
      <w:pPr>
        <w:pStyle w:val="Heading2"/>
      </w:pPr>
      <w:r w:rsidRPr="00856682">
        <w:t>Roles &amp; Responsibilities</w:t>
      </w:r>
    </w:p>
    <w:p w14:paraId="1F538BED" w14:textId="30DF85A3" w:rsidR="002D3FFE" w:rsidRPr="00DF3BD2" w:rsidRDefault="002D3FFE" w:rsidP="002E5B3A">
      <w:pPr>
        <w:pStyle w:val="ListParagraph"/>
        <w:spacing w:after="120" w:line="276" w:lineRule="auto"/>
        <w:ind w:left="0"/>
        <w:jc w:val="both"/>
        <w:rPr>
          <w:rStyle w:val="Strong"/>
          <w:b w:val="0"/>
          <w:bCs w:val="0"/>
        </w:rPr>
      </w:pPr>
      <w:r w:rsidRPr="00C46E05">
        <w:t xml:space="preserve">The </w:t>
      </w:r>
      <w:r>
        <w:t>Chief People Officer</w:t>
      </w:r>
      <w:r w:rsidRPr="00C46E05">
        <w:t xml:space="preserve"> is responsible for the maintenance of this policy and ensure</w:t>
      </w:r>
      <w:r>
        <w:t>s that</w:t>
      </w:r>
      <w:r w:rsidRPr="00C46E05">
        <w:t xml:space="preserve"> Risk &amp; Compliance </w:t>
      </w:r>
      <w:r w:rsidR="000A2E46">
        <w:t>Committee is</w:t>
      </w:r>
      <w:r w:rsidRPr="00C46E05">
        <w:t xml:space="preserve"> made aware of any changes to enable the policy review schedule to be updated.</w:t>
      </w:r>
    </w:p>
    <w:p w14:paraId="632BC7F4" w14:textId="67C7A8BD" w:rsidR="002D3FFE" w:rsidRPr="00856682" w:rsidRDefault="002D3FFE" w:rsidP="00734134">
      <w:pPr>
        <w:pStyle w:val="Heading2"/>
      </w:pPr>
      <w:r w:rsidRPr="00856682">
        <w:t>Reward outcomes in 202</w:t>
      </w:r>
      <w:r w:rsidR="002070D1">
        <w:t>3</w:t>
      </w:r>
    </w:p>
    <w:p w14:paraId="325D157F" w14:textId="1744A7AD" w:rsidR="00521E57" w:rsidRPr="00B81F46" w:rsidRDefault="00521E57" w:rsidP="002E5B3A">
      <w:pPr>
        <w:spacing w:line="276" w:lineRule="auto"/>
        <w:jc w:val="both"/>
        <w:rPr>
          <w:rFonts w:cstheme="minorHAnsi"/>
        </w:rPr>
      </w:pPr>
      <w:r w:rsidRPr="00B81F46">
        <w:rPr>
          <w:rFonts w:cstheme="minorHAnsi"/>
        </w:rPr>
        <w:t>The Performance &amp; Remuneration Committee has reviewed the business performance in 202</w:t>
      </w:r>
      <w:r w:rsidR="00734134">
        <w:rPr>
          <w:rFonts w:cstheme="minorHAnsi"/>
        </w:rPr>
        <w:t>3</w:t>
      </w:r>
      <w:r w:rsidRPr="00B81F46">
        <w:rPr>
          <w:rFonts w:cstheme="minorHAnsi"/>
        </w:rPr>
        <w:t xml:space="preserve"> and considered risk events in conjunction with the Board Risk &amp; Compliance Committee, the affordability of paying variable pay, and the associated risk of low variable pay.  </w:t>
      </w:r>
      <w:r>
        <w:rPr>
          <w:rFonts w:cstheme="minorHAnsi"/>
        </w:rPr>
        <w:t xml:space="preserve">After assessment of performance, the Committee has approved distribution of </w:t>
      </w:r>
      <w:r w:rsidRPr="00B35633">
        <w:rPr>
          <w:rFonts w:cstheme="minorHAnsi"/>
        </w:rPr>
        <w:t>£</w:t>
      </w:r>
      <w:r w:rsidR="00B35633" w:rsidRPr="00B35633">
        <w:rPr>
          <w:rFonts w:cstheme="minorHAnsi"/>
        </w:rPr>
        <w:t>2.</w:t>
      </w:r>
      <w:r w:rsidR="009223DA">
        <w:rPr>
          <w:rFonts w:cstheme="minorHAnsi"/>
        </w:rPr>
        <w:t>8</w:t>
      </w:r>
      <w:r w:rsidR="00B35633" w:rsidRPr="00B35633">
        <w:rPr>
          <w:rFonts w:cstheme="minorHAnsi"/>
        </w:rPr>
        <w:t>m</w:t>
      </w:r>
      <w:r>
        <w:rPr>
          <w:rFonts w:cstheme="minorHAnsi"/>
        </w:rPr>
        <w:t xml:space="preserve"> variable pay award for 202</w:t>
      </w:r>
      <w:r w:rsidR="00734134">
        <w:rPr>
          <w:rFonts w:cstheme="minorHAnsi"/>
        </w:rPr>
        <w:t>3</w:t>
      </w:r>
      <w:r>
        <w:rPr>
          <w:rFonts w:cstheme="minorHAnsi"/>
        </w:rPr>
        <w:t xml:space="preserve"> (202</w:t>
      </w:r>
      <w:r w:rsidR="00734134">
        <w:rPr>
          <w:rFonts w:cstheme="minorHAnsi"/>
        </w:rPr>
        <w:t>2</w:t>
      </w:r>
      <w:r>
        <w:rPr>
          <w:rFonts w:cstheme="minorHAnsi"/>
        </w:rPr>
        <w:t>: £2.</w:t>
      </w:r>
      <w:r w:rsidR="00734134">
        <w:rPr>
          <w:rFonts w:cstheme="minorHAnsi"/>
        </w:rPr>
        <w:t>5</w:t>
      </w:r>
      <w:r>
        <w:rPr>
          <w:rFonts w:cstheme="minorHAnsi"/>
        </w:rPr>
        <w:t>m).</w:t>
      </w:r>
    </w:p>
    <w:p w14:paraId="7F6E63EC" w14:textId="77777777" w:rsidR="002D3FFE" w:rsidRPr="00856682" w:rsidRDefault="002D3FFE" w:rsidP="00734134">
      <w:pPr>
        <w:pStyle w:val="Heading2"/>
      </w:pPr>
      <w:r w:rsidRPr="00856682">
        <w:t>Executive Director Remuneration</w:t>
      </w:r>
    </w:p>
    <w:p w14:paraId="48FC5383" w14:textId="5330C419" w:rsidR="002D3FFE" w:rsidRDefault="002D3FFE" w:rsidP="0006275C">
      <w:pPr>
        <w:jc w:val="both"/>
        <w:rPr>
          <w:rFonts w:cstheme="minorHAnsi"/>
        </w:rPr>
      </w:pPr>
      <w:r w:rsidRPr="00B81F46">
        <w:rPr>
          <w:rFonts w:cstheme="minorHAnsi"/>
        </w:rPr>
        <w:t>The table below summarise the Executive Directors’ remuneration policy for 202</w:t>
      </w:r>
      <w:r w:rsidR="002070D1">
        <w:rPr>
          <w:rFonts w:cstheme="minorHAnsi"/>
        </w:rPr>
        <w:t>3</w:t>
      </w:r>
      <w:r w:rsidRPr="00B81F46">
        <w:rPr>
          <w:rFonts w:cstheme="minorHAnsi"/>
        </w:rPr>
        <w:t>:</w:t>
      </w:r>
    </w:p>
    <w:tbl>
      <w:tblPr>
        <w:tblStyle w:val="GridTable4-Accent11"/>
        <w:tblW w:w="10059" w:type="dxa"/>
        <w:tblLayout w:type="fixed"/>
        <w:tblLook w:val="04A0" w:firstRow="1" w:lastRow="0" w:firstColumn="1" w:lastColumn="0" w:noHBand="0" w:noVBand="1"/>
      </w:tblPr>
      <w:tblGrid>
        <w:gridCol w:w="1696"/>
        <w:gridCol w:w="2041"/>
        <w:gridCol w:w="1786"/>
        <w:gridCol w:w="2041"/>
        <w:gridCol w:w="2495"/>
      </w:tblGrid>
      <w:tr w:rsidR="002070D1" w:rsidRPr="00C00BF6" w14:paraId="5719DA1A" w14:textId="77777777" w:rsidTr="00207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02A2DE" w14:textId="77777777" w:rsidR="002070D1" w:rsidRPr="00C00BF6" w:rsidRDefault="002070D1" w:rsidP="00CB2E1B">
            <w:pPr>
              <w:jc w:val="center"/>
              <w:rPr>
                <w:rFonts w:cstheme="minorHAnsi"/>
                <w:b w:val="0"/>
                <w:sz w:val="18"/>
                <w:szCs w:val="18"/>
              </w:rPr>
            </w:pPr>
            <w:r w:rsidRPr="00C00BF6">
              <w:rPr>
                <w:rFonts w:cstheme="minorHAnsi"/>
                <w:b w:val="0"/>
                <w:sz w:val="18"/>
                <w:szCs w:val="18"/>
              </w:rPr>
              <w:t>Element of Remuneration</w:t>
            </w:r>
          </w:p>
        </w:tc>
        <w:tc>
          <w:tcPr>
            <w:tcW w:w="2041" w:type="dxa"/>
          </w:tcPr>
          <w:p w14:paraId="332F0587" w14:textId="77777777" w:rsidR="002070D1" w:rsidRPr="00C00BF6" w:rsidRDefault="002070D1" w:rsidP="00CB2E1B">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C00BF6">
              <w:rPr>
                <w:rFonts w:cstheme="minorHAnsi"/>
                <w:b w:val="0"/>
                <w:sz w:val="18"/>
                <w:szCs w:val="18"/>
              </w:rPr>
              <w:t>Purpose and Link to Strategy</w:t>
            </w:r>
          </w:p>
        </w:tc>
        <w:tc>
          <w:tcPr>
            <w:tcW w:w="1786" w:type="dxa"/>
          </w:tcPr>
          <w:p w14:paraId="2DF3CE95" w14:textId="77777777" w:rsidR="002070D1" w:rsidRPr="00C00BF6" w:rsidRDefault="002070D1" w:rsidP="00CB2E1B">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C00BF6">
              <w:rPr>
                <w:rFonts w:cstheme="minorHAnsi"/>
                <w:b w:val="0"/>
                <w:sz w:val="18"/>
                <w:szCs w:val="18"/>
              </w:rPr>
              <w:t>Operation</w:t>
            </w:r>
          </w:p>
        </w:tc>
        <w:tc>
          <w:tcPr>
            <w:tcW w:w="2041" w:type="dxa"/>
          </w:tcPr>
          <w:p w14:paraId="7D48E8FE" w14:textId="77777777" w:rsidR="002070D1" w:rsidRPr="00C00BF6" w:rsidRDefault="002070D1" w:rsidP="00CB2E1B">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C00BF6">
              <w:rPr>
                <w:rFonts w:cstheme="minorHAnsi"/>
                <w:b w:val="0"/>
                <w:sz w:val="18"/>
                <w:szCs w:val="18"/>
              </w:rPr>
              <w:t>Maximum</w:t>
            </w:r>
          </w:p>
        </w:tc>
        <w:tc>
          <w:tcPr>
            <w:tcW w:w="2495" w:type="dxa"/>
          </w:tcPr>
          <w:p w14:paraId="711F4152" w14:textId="77777777" w:rsidR="002070D1" w:rsidRPr="00C00BF6" w:rsidRDefault="002070D1" w:rsidP="00CB2E1B">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C00BF6">
              <w:rPr>
                <w:rFonts w:cstheme="minorHAnsi"/>
                <w:b w:val="0"/>
                <w:sz w:val="18"/>
                <w:szCs w:val="18"/>
              </w:rPr>
              <w:t>Performance Targets</w:t>
            </w:r>
          </w:p>
        </w:tc>
      </w:tr>
      <w:tr w:rsidR="002070D1" w:rsidRPr="00C00BF6" w14:paraId="069A7EBE" w14:textId="77777777" w:rsidTr="00207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5D10644" w14:textId="77777777" w:rsidR="002070D1" w:rsidRPr="00C00BF6" w:rsidRDefault="002070D1" w:rsidP="00CB2E1B">
            <w:pPr>
              <w:rPr>
                <w:rFonts w:cstheme="minorHAnsi"/>
                <w:sz w:val="18"/>
                <w:szCs w:val="18"/>
              </w:rPr>
            </w:pPr>
            <w:r w:rsidRPr="00C00BF6">
              <w:rPr>
                <w:rFonts w:cstheme="minorHAnsi"/>
                <w:sz w:val="18"/>
                <w:szCs w:val="18"/>
              </w:rPr>
              <w:t>Salary</w:t>
            </w:r>
          </w:p>
        </w:tc>
        <w:tc>
          <w:tcPr>
            <w:tcW w:w="2041" w:type="dxa"/>
          </w:tcPr>
          <w:p w14:paraId="0EEA2AFC" w14:textId="77777777" w:rsidR="002070D1" w:rsidRPr="00C00BF6" w:rsidRDefault="002070D1" w:rsidP="002070D1">
            <w:pPr>
              <w:pStyle w:val="ListParagraph"/>
              <w:numPr>
                <w:ilvl w:val="0"/>
                <w:numId w:val="20"/>
              </w:numPr>
              <w:ind w:left="149" w:hanging="142"/>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The Performance &amp; Remuneration Committee is committed to adhering to the Financial Services Remuneration Code, thus ensuring that the Bank has risk-focused remuneration policies</w:t>
            </w:r>
          </w:p>
          <w:p w14:paraId="487FB593" w14:textId="77777777" w:rsidR="002070D1" w:rsidRPr="00C00BF6" w:rsidRDefault="002070D1" w:rsidP="002070D1">
            <w:pPr>
              <w:pStyle w:val="ListParagraph"/>
              <w:numPr>
                <w:ilvl w:val="0"/>
                <w:numId w:val="20"/>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Reflects skills and experience over time</w:t>
            </w:r>
          </w:p>
          <w:p w14:paraId="6665B2CC" w14:textId="77777777" w:rsidR="002070D1" w:rsidRPr="00C00BF6" w:rsidRDefault="002070D1" w:rsidP="002070D1">
            <w:pPr>
              <w:pStyle w:val="ListParagraph"/>
              <w:numPr>
                <w:ilvl w:val="0"/>
                <w:numId w:val="20"/>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Reflects the value of the individual and their role</w:t>
            </w:r>
          </w:p>
          <w:p w14:paraId="6689399D" w14:textId="77777777" w:rsidR="002070D1" w:rsidRPr="00C00BF6" w:rsidRDefault="002070D1" w:rsidP="002070D1">
            <w:pPr>
              <w:pStyle w:val="ListParagraph"/>
              <w:numPr>
                <w:ilvl w:val="0"/>
                <w:numId w:val="20"/>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Provides an appropriate level of basic fixed income</w:t>
            </w:r>
          </w:p>
          <w:p w14:paraId="39741F64" w14:textId="77777777" w:rsidR="002070D1" w:rsidRPr="00C00BF6" w:rsidRDefault="002070D1" w:rsidP="002070D1">
            <w:pPr>
              <w:pStyle w:val="ListParagraph"/>
              <w:numPr>
                <w:ilvl w:val="0"/>
                <w:numId w:val="20"/>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Avoids excessive risk taking from over reliance on variable income</w:t>
            </w:r>
          </w:p>
        </w:tc>
        <w:tc>
          <w:tcPr>
            <w:tcW w:w="1786" w:type="dxa"/>
          </w:tcPr>
          <w:p w14:paraId="36E513A0" w14:textId="77777777" w:rsidR="002070D1" w:rsidRPr="00C00BF6" w:rsidRDefault="002070D1" w:rsidP="002070D1">
            <w:pPr>
              <w:pStyle w:val="ListParagraph"/>
              <w:numPr>
                <w:ilvl w:val="0"/>
                <w:numId w:val="21"/>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 xml:space="preserve">Reviewed annually </w:t>
            </w:r>
          </w:p>
          <w:p w14:paraId="0D2EA1DE" w14:textId="77777777" w:rsidR="002070D1" w:rsidRPr="00C00BF6" w:rsidRDefault="002070D1" w:rsidP="002070D1">
            <w:pPr>
              <w:pStyle w:val="ListParagraph"/>
              <w:numPr>
                <w:ilvl w:val="0"/>
                <w:numId w:val="21"/>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Takes periodic account of practices of financial institutions of similar size, characteristics, and sector comparators</w:t>
            </w:r>
          </w:p>
        </w:tc>
        <w:tc>
          <w:tcPr>
            <w:tcW w:w="2041" w:type="dxa"/>
          </w:tcPr>
          <w:p w14:paraId="510472BA" w14:textId="77777777" w:rsidR="002070D1" w:rsidRPr="00C00BF6" w:rsidRDefault="002070D1" w:rsidP="002070D1">
            <w:pPr>
              <w:pStyle w:val="ListParagraph"/>
              <w:numPr>
                <w:ilvl w:val="0"/>
                <w:numId w:val="22"/>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There is no prescribed maximum annual increase</w:t>
            </w:r>
            <w:r>
              <w:rPr>
                <w:rFonts w:cstheme="minorHAnsi"/>
                <w:sz w:val="18"/>
                <w:szCs w:val="18"/>
              </w:rPr>
              <w:t>.</w:t>
            </w:r>
            <w:r w:rsidRPr="00C00BF6">
              <w:rPr>
                <w:rFonts w:cstheme="minorHAnsi"/>
                <w:sz w:val="18"/>
                <w:szCs w:val="18"/>
              </w:rPr>
              <w:t xml:space="preserve"> </w:t>
            </w:r>
          </w:p>
          <w:p w14:paraId="32B22270" w14:textId="77777777" w:rsidR="002070D1" w:rsidRPr="00C00BF6" w:rsidRDefault="002070D1" w:rsidP="00CB2E1B">
            <w:pPr>
              <w:pStyle w:val="ListParagraph"/>
              <w:ind w:left="175"/>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The Performance &amp; Remuneration Committee is guided by the general increase for the broader employee population and on occasions may need to recognise, for example, an increase in the scale, scope, or responsibility of a role.</w:t>
            </w:r>
          </w:p>
        </w:tc>
        <w:tc>
          <w:tcPr>
            <w:tcW w:w="2495" w:type="dxa"/>
          </w:tcPr>
          <w:p w14:paraId="76DFE67F" w14:textId="77777777" w:rsidR="002070D1" w:rsidRPr="00C00BF6" w:rsidRDefault="002070D1" w:rsidP="002070D1">
            <w:pPr>
              <w:pStyle w:val="ListParagraph"/>
              <w:numPr>
                <w:ilvl w:val="0"/>
                <w:numId w:val="22"/>
              </w:numPr>
              <w:ind w:left="175" w:hanging="142"/>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 xml:space="preserve">An element of performance-related pay applies </w:t>
            </w:r>
          </w:p>
        </w:tc>
      </w:tr>
      <w:tr w:rsidR="002070D1" w:rsidRPr="00C00BF6" w14:paraId="6E55967E" w14:textId="77777777" w:rsidTr="002070D1">
        <w:tc>
          <w:tcPr>
            <w:cnfStyle w:val="001000000000" w:firstRow="0" w:lastRow="0" w:firstColumn="1" w:lastColumn="0" w:oddVBand="0" w:evenVBand="0" w:oddHBand="0" w:evenHBand="0" w:firstRowFirstColumn="0" w:firstRowLastColumn="0" w:lastRowFirstColumn="0" w:lastRowLastColumn="0"/>
            <w:tcW w:w="1696" w:type="dxa"/>
          </w:tcPr>
          <w:p w14:paraId="6FFCE203" w14:textId="77777777" w:rsidR="002070D1" w:rsidRPr="00C00BF6" w:rsidRDefault="002070D1" w:rsidP="00CB2E1B">
            <w:pPr>
              <w:rPr>
                <w:rFonts w:cstheme="minorHAnsi"/>
                <w:sz w:val="18"/>
                <w:szCs w:val="18"/>
              </w:rPr>
            </w:pPr>
            <w:r w:rsidRPr="00C00BF6">
              <w:rPr>
                <w:rFonts w:cstheme="minorHAnsi"/>
                <w:sz w:val="18"/>
                <w:szCs w:val="18"/>
              </w:rPr>
              <w:t>Benefits</w:t>
            </w:r>
          </w:p>
        </w:tc>
        <w:tc>
          <w:tcPr>
            <w:tcW w:w="2041" w:type="dxa"/>
          </w:tcPr>
          <w:p w14:paraId="5377869F" w14:textId="77777777" w:rsidR="002070D1" w:rsidRPr="00C00BF6" w:rsidRDefault="002070D1" w:rsidP="002070D1">
            <w:pPr>
              <w:pStyle w:val="ListParagraph"/>
              <w:numPr>
                <w:ilvl w:val="0"/>
                <w:numId w:val="23"/>
              </w:numPr>
              <w:ind w:left="175" w:hanging="13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To aid retention and recruitment</w:t>
            </w:r>
          </w:p>
        </w:tc>
        <w:tc>
          <w:tcPr>
            <w:tcW w:w="1786" w:type="dxa"/>
          </w:tcPr>
          <w:p w14:paraId="2B747394" w14:textId="77777777" w:rsidR="002070D1" w:rsidRPr="00C00BF6" w:rsidRDefault="002070D1" w:rsidP="002070D1">
            <w:pPr>
              <w:pStyle w:val="ListParagraph"/>
              <w:numPr>
                <w:ilvl w:val="0"/>
                <w:numId w:val="23"/>
              </w:numPr>
              <w:ind w:left="175" w:hanging="13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 xml:space="preserve">Company car allowance, provision of private medical insurance, life </w:t>
            </w:r>
            <w:r w:rsidRPr="00C00BF6">
              <w:rPr>
                <w:rFonts w:cstheme="minorHAnsi"/>
                <w:sz w:val="18"/>
                <w:szCs w:val="18"/>
              </w:rPr>
              <w:lastRenderedPageBreak/>
              <w:t>assurance and permanent health insurance</w:t>
            </w:r>
          </w:p>
        </w:tc>
        <w:tc>
          <w:tcPr>
            <w:tcW w:w="2041" w:type="dxa"/>
          </w:tcPr>
          <w:p w14:paraId="2D82CB3C" w14:textId="77777777" w:rsidR="002070D1" w:rsidRPr="00C00BF6" w:rsidRDefault="002070D1" w:rsidP="002070D1">
            <w:pPr>
              <w:pStyle w:val="ListParagraph"/>
              <w:numPr>
                <w:ilvl w:val="0"/>
                <w:numId w:val="23"/>
              </w:numPr>
              <w:ind w:left="189" w:hanging="189"/>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lastRenderedPageBreak/>
              <w:t>Not applicable</w:t>
            </w:r>
          </w:p>
        </w:tc>
        <w:tc>
          <w:tcPr>
            <w:tcW w:w="2495" w:type="dxa"/>
          </w:tcPr>
          <w:p w14:paraId="0DBB87CE" w14:textId="77777777" w:rsidR="002070D1" w:rsidRPr="00C00BF6" w:rsidRDefault="002070D1" w:rsidP="002070D1">
            <w:pPr>
              <w:pStyle w:val="ListParagraph"/>
              <w:numPr>
                <w:ilvl w:val="0"/>
                <w:numId w:val="22"/>
              </w:numPr>
              <w:ind w:left="175" w:hanging="142"/>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Not applicable</w:t>
            </w:r>
          </w:p>
        </w:tc>
      </w:tr>
      <w:tr w:rsidR="002070D1" w:rsidRPr="00C00BF6" w14:paraId="7DB1A265" w14:textId="77777777" w:rsidTr="00207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47B4380" w14:textId="77777777" w:rsidR="002070D1" w:rsidRPr="00C00BF6" w:rsidRDefault="002070D1" w:rsidP="00CB2E1B">
            <w:pPr>
              <w:rPr>
                <w:rFonts w:cstheme="minorHAnsi"/>
                <w:sz w:val="18"/>
                <w:szCs w:val="18"/>
              </w:rPr>
            </w:pPr>
            <w:r w:rsidRPr="00C00BF6">
              <w:rPr>
                <w:rFonts w:cstheme="minorHAnsi"/>
                <w:sz w:val="18"/>
                <w:szCs w:val="18"/>
              </w:rPr>
              <w:t>Pension</w:t>
            </w:r>
          </w:p>
        </w:tc>
        <w:tc>
          <w:tcPr>
            <w:tcW w:w="2041" w:type="dxa"/>
          </w:tcPr>
          <w:p w14:paraId="67D97CB5" w14:textId="77777777" w:rsidR="002070D1" w:rsidRPr="00C00BF6" w:rsidRDefault="002070D1" w:rsidP="002070D1">
            <w:pPr>
              <w:pStyle w:val="ListParagraph"/>
              <w:numPr>
                <w:ilvl w:val="0"/>
                <w:numId w:val="24"/>
              </w:numPr>
              <w:ind w:left="175" w:hanging="141"/>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Provides retirement benefits</w:t>
            </w:r>
          </w:p>
          <w:p w14:paraId="1D922B96" w14:textId="77777777" w:rsidR="002070D1" w:rsidRPr="00C00BF6" w:rsidRDefault="002070D1" w:rsidP="002070D1">
            <w:pPr>
              <w:pStyle w:val="ListParagraph"/>
              <w:numPr>
                <w:ilvl w:val="0"/>
                <w:numId w:val="23"/>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Opportunity for executives to contribute to their own retirement plan</w:t>
            </w:r>
          </w:p>
        </w:tc>
        <w:tc>
          <w:tcPr>
            <w:tcW w:w="1786" w:type="dxa"/>
          </w:tcPr>
          <w:p w14:paraId="0B9EC853" w14:textId="77777777" w:rsidR="002070D1" w:rsidRPr="00C00BF6" w:rsidRDefault="002070D1" w:rsidP="002070D1">
            <w:pPr>
              <w:pStyle w:val="ListParagraph"/>
              <w:numPr>
                <w:ilvl w:val="0"/>
                <w:numId w:val="23"/>
              </w:numPr>
              <w:ind w:left="175" w:hanging="13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Defined contribution</w:t>
            </w:r>
          </w:p>
        </w:tc>
        <w:tc>
          <w:tcPr>
            <w:tcW w:w="2041" w:type="dxa"/>
          </w:tcPr>
          <w:p w14:paraId="6577DFC8" w14:textId="77777777" w:rsidR="002070D1" w:rsidRPr="00C00BF6" w:rsidRDefault="002070D1" w:rsidP="002070D1">
            <w:pPr>
              <w:pStyle w:val="ListParagraph"/>
              <w:numPr>
                <w:ilvl w:val="0"/>
                <w:numId w:val="24"/>
              </w:numPr>
              <w:ind w:left="189" w:hanging="142"/>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gramStart"/>
            <w:r w:rsidRPr="00C00BF6">
              <w:rPr>
                <w:rFonts w:cstheme="minorHAnsi"/>
                <w:sz w:val="18"/>
                <w:szCs w:val="18"/>
              </w:rPr>
              <w:t>Bank</w:t>
            </w:r>
            <w:proofErr w:type="gramEnd"/>
            <w:r w:rsidRPr="00C00BF6">
              <w:rPr>
                <w:rFonts w:cstheme="minorHAnsi"/>
                <w:sz w:val="18"/>
                <w:szCs w:val="18"/>
              </w:rPr>
              <w:t xml:space="preserve"> contribute 10% of salary provided executives contribute a min 3% of salary</w:t>
            </w:r>
            <w:r>
              <w:rPr>
                <w:rFonts w:cstheme="minorHAnsi"/>
                <w:sz w:val="18"/>
                <w:szCs w:val="18"/>
              </w:rPr>
              <w:t>.</w:t>
            </w:r>
            <w:r w:rsidRPr="00C00BF6">
              <w:rPr>
                <w:rFonts w:cstheme="minorHAnsi"/>
                <w:sz w:val="18"/>
                <w:szCs w:val="18"/>
              </w:rPr>
              <w:t xml:space="preserve"> </w:t>
            </w:r>
          </w:p>
          <w:p w14:paraId="42D0EE5F" w14:textId="77777777" w:rsidR="002070D1" w:rsidRPr="00C00BF6" w:rsidRDefault="002070D1" w:rsidP="002070D1">
            <w:pPr>
              <w:pStyle w:val="ListParagraph"/>
              <w:numPr>
                <w:ilvl w:val="0"/>
                <w:numId w:val="24"/>
              </w:numPr>
              <w:ind w:left="189" w:hanging="142"/>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Executives may request a salary sacrifice for the equivalent of their personal pension contribution. This arrangement is also available for other staff</w:t>
            </w:r>
            <w:r>
              <w:rPr>
                <w:rFonts w:cstheme="minorHAnsi"/>
                <w:sz w:val="18"/>
                <w:szCs w:val="18"/>
              </w:rPr>
              <w:t>.</w:t>
            </w:r>
          </w:p>
          <w:p w14:paraId="64558FDF" w14:textId="77777777" w:rsidR="002070D1" w:rsidRPr="00C00BF6" w:rsidRDefault="002070D1" w:rsidP="002070D1">
            <w:pPr>
              <w:pStyle w:val="ListParagraph"/>
              <w:numPr>
                <w:ilvl w:val="0"/>
                <w:numId w:val="23"/>
              </w:numPr>
              <w:ind w:left="189" w:hanging="189"/>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bCs/>
                <w:sz w:val="18"/>
                <w:szCs w:val="18"/>
              </w:rPr>
              <w:t>For EDs who have exceeded their lifetime allowance and/ or tapered allowance, there is the option of taking a 10% pension allowance in cash (taxable allowance</w:t>
            </w:r>
            <w:r w:rsidRPr="00C00BF6">
              <w:rPr>
                <w:rFonts w:cstheme="minorHAnsi"/>
                <w:sz w:val="18"/>
                <w:szCs w:val="18"/>
              </w:rPr>
              <w:t>)</w:t>
            </w:r>
            <w:r>
              <w:rPr>
                <w:rFonts w:cstheme="minorHAnsi"/>
                <w:sz w:val="18"/>
                <w:szCs w:val="18"/>
              </w:rPr>
              <w:t>.</w:t>
            </w:r>
          </w:p>
        </w:tc>
        <w:tc>
          <w:tcPr>
            <w:tcW w:w="2495" w:type="dxa"/>
          </w:tcPr>
          <w:p w14:paraId="417D444A" w14:textId="77777777" w:rsidR="002070D1" w:rsidRPr="00C00BF6" w:rsidRDefault="002070D1" w:rsidP="002070D1">
            <w:pPr>
              <w:pStyle w:val="ListParagraph"/>
              <w:numPr>
                <w:ilvl w:val="0"/>
                <w:numId w:val="22"/>
              </w:numPr>
              <w:ind w:left="175" w:hanging="142"/>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Not applicable</w:t>
            </w:r>
          </w:p>
        </w:tc>
      </w:tr>
      <w:tr w:rsidR="002070D1" w:rsidRPr="00C00BF6" w14:paraId="548BD1FC" w14:textId="77777777" w:rsidTr="002070D1">
        <w:trPr>
          <w:trHeight w:val="1587"/>
        </w:trPr>
        <w:tc>
          <w:tcPr>
            <w:cnfStyle w:val="001000000000" w:firstRow="0" w:lastRow="0" w:firstColumn="1" w:lastColumn="0" w:oddVBand="0" w:evenVBand="0" w:oddHBand="0" w:evenHBand="0" w:firstRowFirstColumn="0" w:firstRowLastColumn="0" w:lastRowFirstColumn="0" w:lastRowLastColumn="0"/>
            <w:tcW w:w="1696" w:type="dxa"/>
          </w:tcPr>
          <w:p w14:paraId="22B002E4" w14:textId="77777777" w:rsidR="002070D1" w:rsidRPr="00C00BF6" w:rsidRDefault="002070D1" w:rsidP="00CB2E1B">
            <w:pPr>
              <w:rPr>
                <w:rFonts w:cstheme="minorHAnsi"/>
                <w:sz w:val="18"/>
                <w:szCs w:val="18"/>
              </w:rPr>
            </w:pPr>
            <w:r w:rsidRPr="00C00BF6">
              <w:rPr>
                <w:rFonts w:cstheme="minorHAnsi"/>
                <w:sz w:val="18"/>
                <w:szCs w:val="18"/>
              </w:rPr>
              <w:t>Bonus</w:t>
            </w:r>
          </w:p>
        </w:tc>
        <w:tc>
          <w:tcPr>
            <w:tcW w:w="2041" w:type="dxa"/>
          </w:tcPr>
          <w:p w14:paraId="556BA497" w14:textId="77777777" w:rsidR="002070D1" w:rsidRPr="00C00BF6" w:rsidRDefault="002070D1" w:rsidP="002070D1">
            <w:pPr>
              <w:pStyle w:val="ListParagraph"/>
              <w:numPr>
                <w:ilvl w:val="0"/>
                <w:numId w:val="23"/>
              </w:numPr>
              <w:ind w:left="175" w:hanging="141"/>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Incentivises annual delivery of financial and strategic goals</w:t>
            </w:r>
          </w:p>
          <w:p w14:paraId="1D9624CD" w14:textId="77777777" w:rsidR="002070D1" w:rsidRPr="00C00BF6" w:rsidRDefault="002070D1" w:rsidP="002070D1">
            <w:pPr>
              <w:pStyle w:val="ListParagraph"/>
              <w:numPr>
                <w:ilvl w:val="0"/>
                <w:numId w:val="23"/>
              </w:numPr>
              <w:ind w:left="175" w:hanging="141"/>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Maximum bonus only payable for achieving business and personal targets</w:t>
            </w:r>
          </w:p>
        </w:tc>
        <w:tc>
          <w:tcPr>
            <w:tcW w:w="1786" w:type="dxa"/>
          </w:tcPr>
          <w:p w14:paraId="240E8E30" w14:textId="77777777" w:rsidR="002070D1" w:rsidRPr="00C00BF6" w:rsidRDefault="002070D1" w:rsidP="002070D1">
            <w:pPr>
              <w:pStyle w:val="ListParagraph"/>
              <w:numPr>
                <w:ilvl w:val="0"/>
                <w:numId w:val="23"/>
              </w:numPr>
              <w:ind w:left="198" w:hanging="142"/>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Paid in cash</w:t>
            </w:r>
          </w:p>
          <w:p w14:paraId="5D718660" w14:textId="77777777" w:rsidR="002070D1" w:rsidRDefault="002070D1" w:rsidP="002070D1">
            <w:pPr>
              <w:pStyle w:val="ListParagraph"/>
              <w:numPr>
                <w:ilvl w:val="0"/>
                <w:numId w:val="23"/>
              </w:numPr>
              <w:ind w:left="198" w:hanging="142"/>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Not pensionable</w:t>
            </w:r>
          </w:p>
          <w:p w14:paraId="673D00E4" w14:textId="77777777" w:rsidR="002070D1" w:rsidRPr="00C00BF6" w:rsidRDefault="002070D1" w:rsidP="002070D1">
            <w:pPr>
              <w:pStyle w:val="ListParagraph"/>
              <w:numPr>
                <w:ilvl w:val="0"/>
                <w:numId w:val="23"/>
              </w:numPr>
              <w:ind w:left="198" w:hanging="142"/>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Recovery provisions apply in line with the Bank’s Remuneration Policy</w:t>
            </w:r>
          </w:p>
        </w:tc>
        <w:tc>
          <w:tcPr>
            <w:tcW w:w="2041" w:type="dxa"/>
          </w:tcPr>
          <w:p w14:paraId="2A5819E0" w14:textId="0250592A" w:rsidR="002070D1" w:rsidRPr="00C00BF6" w:rsidRDefault="007B421A" w:rsidP="002070D1">
            <w:pPr>
              <w:pStyle w:val="ListParagraph"/>
              <w:numPr>
                <w:ilvl w:val="0"/>
                <w:numId w:val="23"/>
              </w:numPr>
              <w:ind w:left="189" w:hanging="142"/>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Fifty percent</w:t>
            </w:r>
            <w:r w:rsidR="002070D1" w:rsidRPr="00C00BF6">
              <w:rPr>
                <w:rFonts w:cstheme="minorHAnsi"/>
                <w:sz w:val="18"/>
                <w:szCs w:val="18"/>
              </w:rPr>
              <w:t xml:space="preserve"> of salary </w:t>
            </w:r>
          </w:p>
          <w:p w14:paraId="10E56132" w14:textId="77777777" w:rsidR="002070D1" w:rsidRPr="00C00BF6" w:rsidRDefault="002070D1" w:rsidP="00CB2E1B">
            <w:pPr>
              <w:pStyle w:val="ListParagraph"/>
              <w:ind w:left="189"/>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p w14:paraId="4ACE8531" w14:textId="77777777" w:rsidR="002070D1" w:rsidRPr="00C00BF6" w:rsidRDefault="002070D1" w:rsidP="00CB2E1B">
            <w:pPr>
              <w:pStyle w:val="ListParagraph"/>
              <w:ind w:left="189"/>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495" w:type="dxa"/>
          </w:tcPr>
          <w:p w14:paraId="6FD89452" w14:textId="77777777" w:rsidR="002070D1" w:rsidRPr="00C00BF6" w:rsidRDefault="002070D1" w:rsidP="002070D1">
            <w:pPr>
              <w:pStyle w:val="ListParagraph"/>
              <w:numPr>
                <w:ilvl w:val="0"/>
                <w:numId w:val="23"/>
              </w:numPr>
              <w:ind w:left="187" w:hanging="142"/>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A combination of 50% company and 50% individual performance measures</w:t>
            </w:r>
          </w:p>
          <w:p w14:paraId="62BF00BA" w14:textId="77777777" w:rsidR="002070D1" w:rsidRPr="00C00BF6" w:rsidRDefault="002070D1" w:rsidP="00CB2E1B">
            <w:pPr>
              <w:pStyle w:val="ListParagraph"/>
              <w:ind w:left="18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F6">
              <w:rPr>
                <w:rFonts w:cstheme="minorHAnsi"/>
                <w:sz w:val="18"/>
                <w:szCs w:val="18"/>
              </w:rPr>
              <w:t>with a deferred element of amounts over 20% of salary paid over 3 years</w:t>
            </w:r>
          </w:p>
        </w:tc>
      </w:tr>
      <w:tr w:rsidR="002D3FFE" w:rsidRPr="00B81F46" w14:paraId="0FA010C0" w14:textId="77777777" w:rsidTr="002070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tcBorders>
            <w:shd w:val="clear" w:color="auto" w:fill="8DB3E2"/>
          </w:tcPr>
          <w:p w14:paraId="131CAF52" w14:textId="54F3BF05" w:rsidR="002D3FFE" w:rsidRPr="00B81F46" w:rsidRDefault="002D3FFE" w:rsidP="0094234F">
            <w:pPr>
              <w:rPr>
                <w:rFonts w:ascii="Museo Sans 100" w:hAnsi="Museo Sans 100" w:cstheme="minorHAnsi"/>
                <w:b w:val="0"/>
                <w:sz w:val="18"/>
                <w:szCs w:val="18"/>
              </w:rPr>
            </w:pPr>
          </w:p>
        </w:tc>
        <w:tc>
          <w:tcPr>
            <w:tcW w:w="2041" w:type="dxa"/>
            <w:tcBorders>
              <w:top w:val="single" w:sz="4" w:space="0" w:color="auto"/>
            </w:tcBorders>
            <w:shd w:val="clear" w:color="auto" w:fill="8DB3E2"/>
          </w:tcPr>
          <w:p w14:paraId="4E7E9163" w14:textId="39964577" w:rsidR="002D3FFE" w:rsidRPr="00B81F46" w:rsidRDefault="002D3FFE" w:rsidP="0094234F">
            <w:pPr>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b/>
                <w:sz w:val="18"/>
                <w:szCs w:val="18"/>
              </w:rPr>
            </w:pPr>
          </w:p>
        </w:tc>
        <w:tc>
          <w:tcPr>
            <w:tcW w:w="1786" w:type="dxa"/>
            <w:tcBorders>
              <w:top w:val="single" w:sz="4" w:space="0" w:color="auto"/>
            </w:tcBorders>
            <w:shd w:val="clear" w:color="auto" w:fill="8DB3E2"/>
          </w:tcPr>
          <w:p w14:paraId="689C706F" w14:textId="5F9D88CF" w:rsidR="002D3FFE" w:rsidRPr="00B81F46" w:rsidRDefault="002D3FFE" w:rsidP="0094234F">
            <w:pPr>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b/>
                <w:sz w:val="18"/>
                <w:szCs w:val="18"/>
              </w:rPr>
            </w:pPr>
          </w:p>
        </w:tc>
        <w:tc>
          <w:tcPr>
            <w:tcW w:w="2041" w:type="dxa"/>
            <w:tcBorders>
              <w:top w:val="single" w:sz="4" w:space="0" w:color="auto"/>
            </w:tcBorders>
            <w:shd w:val="clear" w:color="auto" w:fill="8DB3E2"/>
          </w:tcPr>
          <w:p w14:paraId="54923AA0" w14:textId="4BE65D7E" w:rsidR="002D3FFE" w:rsidRPr="00B81F46" w:rsidRDefault="002D3FFE" w:rsidP="0094234F">
            <w:pPr>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b/>
                <w:sz w:val="18"/>
                <w:szCs w:val="18"/>
              </w:rPr>
            </w:pPr>
          </w:p>
        </w:tc>
        <w:tc>
          <w:tcPr>
            <w:tcW w:w="2495" w:type="dxa"/>
            <w:tcBorders>
              <w:top w:val="single" w:sz="4" w:space="0" w:color="auto"/>
              <w:right w:val="single" w:sz="4" w:space="0" w:color="auto"/>
            </w:tcBorders>
            <w:shd w:val="clear" w:color="auto" w:fill="8DB3E2"/>
          </w:tcPr>
          <w:p w14:paraId="08DFDFF9" w14:textId="0BA173DB" w:rsidR="002D3FFE" w:rsidRPr="00B81F46" w:rsidRDefault="002D3FFE" w:rsidP="0094234F">
            <w:pPr>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b/>
                <w:sz w:val="18"/>
                <w:szCs w:val="18"/>
              </w:rPr>
            </w:pPr>
          </w:p>
        </w:tc>
      </w:tr>
    </w:tbl>
    <w:p w14:paraId="0FC25EF6" w14:textId="77777777" w:rsidR="002070D1" w:rsidRPr="00235788" w:rsidRDefault="002070D1" w:rsidP="002E5B3A">
      <w:pPr>
        <w:autoSpaceDE w:val="0"/>
        <w:autoSpaceDN w:val="0"/>
        <w:adjustRightInd w:val="0"/>
        <w:spacing w:before="160" w:line="276" w:lineRule="auto"/>
        <w:jc w:val="both"/>
        <w:rPr>
          <w:rFonts w:cstheme="minorHAnsi"/>
          <w:color w:val="000000" w:themeColor="text1"/>
        </w:rPr>
      </w:pPr>
      <w:r w:rsidRPr="00235788">
        <w:rPr>
          <w:rFonts w:cstheme="minorHAnsi"/>
          <w:color w:val="000000" w:themeColor="text1"/>
        </w:rPr>
        <w:t>The choice of the performance metrics applicable to the annual bonus scheme reflects the Board’s belief that any incentive compensation should be appropriately challenging and tied to the delivery of the defined financial and risk management objectives, along with specific individual objectives.  An element of deferral applies to the executive directors’ bonus scheme.</w:t>
      </w:r>
    </w:p>
    <w:p w14:paraId="2EC1C7DA" w14:textId="77777777" w:rsidR="002070D1" w:rsidRDefault="002070D1" w:rsidP="002E5B3A">
      <w:pPr>
        <w:spacing w:before="160" w:line="276" w:lineRule="auto"/>
        <w:jc w:val="both"/>
        <w:rPr>
          <w:rFonts w:cstheme="minorHAnsi"/>
          <w:color w:val="000000" w:themeColor="text1"/>
        </w:rPr>
      </w:pPr>
      <w:r w:rsidRPr="00235788">
        <w:rPr>
          <w:rFonts w:cstheme="minorHAnsi"/>
          <w:color w:val="000000" w:themeColor="text1"/>
        </w:rPr>
        <w:t xml:space="preserve">Benefits offered to </w:t>
      </w:r>
      <w:r>
        <w:rPr>
          <w:rFonts w:cstheme="minorHAnsi"/>
          <w:color w:val="000000" w:themeColor="text1"/>
        </w:rPr>
        <w:t>E</w:t>
      </w:r>
      <w:r w:rsidRPr="00235788">
        <w:rPr>
          <w:rFonts w:cstheme="minorHAnsi"/>
          <w:color w:val="000000" w:themeColor="text1"/>
        </w:rPr>
        <w:t xml:space="preserve">xecutive </w:t>
      </w:r>
      <w:r>
        <w:rPr>
          <w:rFonts w:cstheme="minorHAnsi"/>
          <w:color w:val="000000" w:themeColor="text1"/>
        </w:rPr>
        <w:t>D</w:t>
      </w:r>
      <w:r w:rsidRPr="00235788">
        <w:rPr>
          <w:rFonts w:cstheme="minorHAnsi"/>
          <w:color w:val="000000" w:themeColor="text1"/>
        </w:rPr>
        <w:t>irectors apply from the commencement of employment.</w:t>
      </w:r>
    </w:p>
    <w:p w14:paraId="0D155E6E" w14:textId="77777777" w:rsidR="002D3FFE" w:rsidRPr="009F68BD" w:rsidRDefault="002D3FFE" w:rsidP="0006275C">
      <w:pPr>
        <w:spacing w:before="160"/>
        <w:jc w:val="both"/>
        <w:rPr>
          <w:rFonts w:cstheme="minorHAnsi"/>
        </w:rPr>
      </w:pPr>
    </w:p>
    <w:p w14:paraId="07D4512B" w14:textId="77777777" w:rsidR="002D3FFE" w:rsidRDefault="002D3FFE" w:rsidP="0006275C">
      <w:pPr>
        <w:jc w:val="both"/>
        <w:rPr>
          <w:b/>
          <w:bCs/>
          <w:color w:val="5B9BD5"/>
        </w:rPr>
      </w:pPr>
      <w:r w:rsidRPr="00856682">
        <w:rPr>
          <w:b/>
          <w:bCs/>
          <w:color w:val="5B9BD5"/>
        </w:rPr>
        <w:t>Consideration by the Directors of matters relating to Directors’ Remuneration</w:t>
      </w:r>
    </w:p>
    <w:p w14:paraId="773AA2BA" w14:textId="77777777" w:rsidR="002D3FFE" w:rsidRPr="00856682" w:rsidRDefault="002D3FFE" w:rsidP="0006275C">
      <w:pPr>
        <w:jc w:val="both"/>
        <w:rPr>
          <w:b/>
          <w:bCs/>
          <w:color w:val="5B9BD5"/>
        </w:rPr>
      </w:pPr>
    </w:p>
    <w:p w14:paraId="48535AA2" w14:textId="77777777" w:rsidR="00A87EAA" w:rsidRPr="00B81F46" w:rsidRDefault="00A87EAA" w:rsidP="002E5B3A">
      <w:pPr>
        <w:spacing w:line="276" w:lineRule="auto"/>
        <w:jc w:val="both"/>
        <w:rPr>
          <w:rFonts w:cstheme="minorHAnsi"/>
        </w:rPr>
      </w:pPr>
      <w:r w:rsidRPr="00B81F46">
        <w:rPr>
          <w:rFonts w:cstheme="minorHAnsi"/>
        </w:rPr>
        <w:t xml:space="preserve">The Performance &amp; Remuneration </w:t>
      </w:r>
      <w:r w:rsidRPr="00B35633">
        <w:rPr>
          <w:rFonts w:cstheme="minorHAnsi"/>
        </w:rPr>
        <w:t>Committee engage Deloitte LLP (Deloitte)</w:t>
      </w:r>
      <w:r w:rsidRPr="00B81F46">
        <w:rPr>
          <w:rFonts w:cstheme="minorHAnsi"/>
        </w:rPr>
        <w:t xml:space="preserve"> to provide independent advice on remuneration matters.  Deloitte is a member of the Remuneration Consultants Group and, as such, voluntarily operates under the code of conduct in relation to executive remuneration consulting in the UK.  Deloitte has provided independent advice on matters under consideration by the Performance &amp; Remuneration Committee including compliance with regulations, advice on market trends and data, remuneration policy and implementation of remuneration arrangements, including support in remuneration arrangements for departing Executives.  The Performance &amp; Remuneration Committee is satisfied that the advice it has received has been objective and independent.</w:t>
      </w:r>
    </w:p>
    <w:p w14:paraId="6E9F65B5" w14:textId="77777777" w:rsidR="004E2565" w:rsidRDefault="004E2565" w:rsidP="002E5B3A">
      <w:pPr>
        <w:spacing w:line="276" w:lineRule="auto"/>
        <w:jc w:val="both"/>
        <w:rPr>
          <w:rFonts w:cstheme="minorHAnsi"/>
        </w:rPr>
      </w:pPr>
    </w:p>
    <w:p w14:paraId="6103F897" w14:textId="4713FC93" w:rsidR="00316BD6" w:rsidRDefault="00316BD6" w:rsidP="002E5B3A">
      <w:pPr>
        <w:spacing w:line="276" w:lineRule="auto"/>
        <w:jc w:val="both"/>
        <w:rPr>
          <w:rFonts w:cstheme="minorHAnsi"/>
        </w:rPr>
      </w:pPr>
      <w:r w:rsidRPr="00B35633">
        <w:rPr>
          <w:rFonts w:cstheme="minorHAnsi"/>
        </w:rPr>
        <w:t xml:space="preserve">The total remuneration paid to the Bank’s highest paid Director for qualifying services as a </w:t>
      </w:r>
      <w:r w:rsidR="000A7B95" w:rsidRPr="00B35633">
        <w:rPr>
          <w:rFonts w:cstheme="minorHAnsi"/>
        </w:rPr>
        <w:t>director</w:t>
      </w:r>
      <w:r w:rsidRPr="00B35633">
        <w:rPr>
          <w:rFonts w:cstheme="minorHAnsi"/>
        </w:rPr>
        <w:t xml:space="preserve"> in the period from 1 January to 31 December 202</w:t>
      </w:r>
      <w:r w:rsidR="00295264" w:rsidRPr="00B35633">
        <w:rPr>
          <w:rFonts w:cstheme="minorHAnsi"/>
        </w:rPr>
        <w:t>3</w:t>
      </w:r>
      <w:r w:rsidRPr="00B35633">
        <w:rPr>
          <w:rFonts w:cstheme="minorHAnsi"/>
        </w:rPr>
        <w:t xml:space="preserve"> is included in Note 11 to the </w:t>
      </w:r>
      <w:r w:rsidR="00E11738" w:rsidRPr="00B35633">
        <w:rPr>
          <w:rFonts w:cstheme="minorHAnsi"/>
        </w:rPr>
        <w:t>F</w:t>
      </w:r>
      <w:r w:rsidRPr="00B35633">
        <w:rPr>
          <w:rFonts w:cstheme="minorHAnsi"/>
        </w:rPr>
        <w:t xml:space="preserve">inancial </w:t>
      </w:r>
      <w:r w:rsidR="00E11738" w:rsidRPr="00B35633">
        <w:rPr>
          <w:rFonts w:cstheme="minorHAnsi"/>
        </w:rPr>
        <w:t>S</w:t>
      </w:r>
      <w:r w:rsidRPr="00B35633">
        <w:rPr>
          <w:rFonts w:cstheme="minorHAnsi"/>
        </w:rPr>
        <w:t>tatements.</w:t>
      </w:r>
      <w:r w:rsidRPr="00B81F46">
        <w:rPr>
          <w:rFonts w:cstheme="minorHAnsi"/>
        </w:rPr>
        <w:t xml:space="preserve"> </w:t>
      </w:r>
    </w:p>
    <w:p w14:paraId="5E2F0D36" w14:textId="77777777" w:rsidR="00835F78" w:rsidRDefault="00835F78" w:rsidP="002E5B3A">
      <w:pPr>
        <w:spacing w:line="276" w:lineRule="auto"/>
        <w:jc w:val="both"/>
        <w:rPr>
          <w:rFonts w:cstheme="minorHAnsi"/>
        </w:rPr>
      </w:pPr>
    </w:p>
    <w:p w14:paraId="5F3E2B1A" w14:textId="77777777" w:rsidR="002D3FFE" w:rsidRPr="00B81F46" w:rsidRDefault="002D3FFE" w:rsidP="0006275C">
      <w:pPr>
        <w:jc w:val="both"/>
        <w:rPr>
          <w:rFonts w:cstheme="minorHAnsi"/>
        </w:rPr>
      </w:pPr>
    </w:p>
    <w:p w14:paraId="2D622F1D" w14:textId="77777777" w:rsidR="00835F78" w:rsidRDefault="00835F78" w:rsidP="0006275C">
      <w:pPr>
        <w:jc w:val="both"/>
        <w:rPr>
          <w:b/>
          <w:bCs/>
          <w:color w:val="5B9BD5"/>
        </w:rPr>
      </w:pPr>
    </w:p>
    <w:p w14:paraId="6F086806" w14:textId="79B845FF" w:rsidR="002D3FFE" w:rsidRDefault="002D3FFE" w:rsidP="0006275C">
      <w:pPr>
        <w:jc w:val="both"/>
        <w:rPr>
          <w:b/>
          <w:bCs/>
          <w:color w:val="5B9BD5"/>
        </w:rPr>
      </w:pPr>
      <w:r w:rsidRPr="00856682">
        <w:rPr>
          <w:b/>
          <w:bCs/>
          <w:color w:val="5B9BD5"/>
        </w:rPr>
        <w:lastRenderedPageBreak/>
        <w:t>Remuneration policy for other employees</w:t>
      </w:r>
    </w:p>
    <w:p w14:paraId="308B9761" w14:textId="77777777" w:rsidR="002D3FFE" w:rsidRPr="00856682" w:rsidRDefault="002D3FFE" w:rsidP="0006275C">
      <w:pPr>
        <w:jc w:val="both"/>
        <w:rPr>
          <w:b/>
          <w:bCs/>
          <w:color w:val="5B9BD5"/>
        </w:rPr>
      </w:pPr>
    </w:p>
    <w:p w14:paraId="763B3EF9" w14:textId="740DC963" w:rsidR="002D3FFE" w:rsidRDefault="002D3FFE" w:rsidP="002E5B3A">
      <w:pPr>
        <w:spacing w:line="276" w:lineRule="auto"/>
        <w:jc w:val="both"/>
        <w:rPr>
          <w:rFonts w:cstheme="minorHAnsi"/>
        </w:rPr>
      </w:pPr>
      <w:r w:rsidRPr="00B81F46">
        <w:rPr>
          <w:rFonts w:cstheme="minorHAnsi"/>
        </w:rPr>
        <w:t>The Bank’s approach to annual salary reviews is consistent across the business with consideration given to affordability, the level of experience, responsibility, individual performance, and salary level in comparable companies.</w:t>
      </w:r>
    </w:p>
    <w:p w14:paraId="4FF3C5E3" w14:textId="77777777" w:rsidR="004E2565" w:rsidRPr="00B81F46" w:rsidRDefault="004E2565" w:rsidP="002E5B3A">
      <w:pPr>
        <w:spacing w:line="276" w:lineRule="auto"/>
        <w:jc w:val="both"/>
        <w:rPr>
          <w:rFonts w:cstheme="minorHAnsi"/>
        </w:rPr>
      </w:pPr>
    </w:p>
    <w:p w14:paraId="59EBD562" w14:textId="77777777" w:rsidR="002D3FFE" w:rsidRDefault="002D3FFE" w:rsidP="002E5B3A">
      <w:pPr>
        <w:spacing w:line="276" w:lineRule="auto"/>
        <w:jc w:val="both"/>
        <w:rPr>
          <w:rFonts w:cstheme="minorHAnsi"/>
        </w:rPr>
      </w:pPr>
      <w:r w:rsidRPr="00B81F46">
        <w:rPr>
          <w:rFonts w:cstheme="minorHAnsi"/>
        </w:rPr>
        <w:t xml:space="preserve">Pension and benefits provided to all employees are broadly in line with the policy for Executive Directors, although the commencement of benefits may be subject to longer periods of eligibility at the start of employment. </w:t>
      </w:r>
    </w:p>
    <w:p w14:paraId="4766056A" w14:textId="77777777" w:rsidR="002D3FFE" w:rsidRPr="00B81F46" w:rsidRDefault="002D3FFE" w:rsidP="0006275C">
      <w:pPr>
        <w:jc w:val="both"/>
        <w:rPr>
          <w:rFonts w:cstheme="minorHAnsi"/>
        </w:rPr>
      </w:pPr>
    </w:p>
    <w:p w14:paraId="2FEA942B" w14:textId="77777777" w:rsidR="002D3FFE" w:rsidRDefault="002D3FFE" w:rsidP="0006275C">
      <w:pPr>
        <w:jc w:val="both"/>
        <w:rPr>
          <w:b/>
          <w:bCs/>
          <w:color w:val="5B9BD5"/>
        </w:rPr>
      </w:pPr>
      <w:r w:rsidRPr="00856682">
        <w:rPr>
          <w:b/>
          <w:bCs/>
          <w:color w:val="5B9BD5"/>
        </w:rPr>
        <w:t>Remuneration policy for Non-Executive Directors</w:t>
      </w:r>
    </w:p>
    <w:p w14:paraId="5542F53C" w14:textId="77777777" w:rsidR="002D3FFE" w:rsidRPr="00856682" w:rsidRDefault="002D3FFE" w:rsidP="0006275C">
      <w:pPr>
        <w:jc w:val="both"/>
        <w:rPr>
          <w:b/>
          <w:bCs/>
          <w:color w:val="5B9BD5"/>
        </w:rPr>
      </w:pPr>
    </w:p>
    <w:p w14:paraId="7C52F56E" w14:textId="77777777" w:rsidR="002070D1" w:rsidRDefault="002070D1" w:rsidP="002E5B3A">
      <w:pPr>
        <w:spacing w:line="276" w:lineRule="auto"/>
        <w:jc w:val="both"/>
        <w:rPr>
          <w:color w:val="000000" w:themeColor="text1"/>
        </w:rPr>
      </w:pPr>
      <w:r w:rsidRPr="00235788">
        <w:rPr>
          <w:color w:val="000000" w:themeColor="text1"/>
        </w:rPr>
        <w:t>All Non-Executive Directors are appointed for an initial term of 36 months and may be terminated by either party upon 3 months’ written notice.  Non-Executive fees are set in line with the policy in the table below.  Non-Executive Directors are not eligible to participate in any of the benefits provided to employees or Executive Directors except for private medical insurance.</w:t>
      </w:r>
    </w:p>
    <w:p w14:paraId="287D11F0" w14:textId="77777777" w:rsidR="002D3FFE" w:rsidRPr="00B81F46" w:rsidRDefault="002D3FFE" w:rsidP="0006275C">
      <w:pPr>
        <w:jc w:val="both"/>
      </w:pPr>
    </w:p>
    <w:tbl>
      <w:tblPr>
        <w:tblStyle w:val="GridTable4-Accent11"/>
        <w:tblW w:w="10150" w:type="dxa"/>
        <w:tblBorders>
          <w:top w:val="single" w:sz="4" w:space="0" w:color="auto"/>
          <w:left w:val="single" w:sz="4" w:space="0" w:color="auto"/>
          <w:bottom w:val="single" w:sz="4" w:space="0" w:color="auto"/>
          <w:right w:val="single" w:sz="4" w:space="0" w:color="auto"/>
          <w:insideH w:val="single" w:sz="4" w:space="0" w:color="5B9BD5"/>
          <w:insideV w:val="none" w:sz="0" w:space="0" w:color="auto"/>
        </w:tblBorders>
        <w:tblLook w:val="04A0" w:firstRow="1" w:lastRow="0" w:firstColumn="1" w:lastColumn="0" w:noHBand="0" w:noVBand="1"/>
      </w:tblPr>
      <w:tblGrid>
        <w:gridCol w:w="1579"/>
        <w:gridCol w:w="1942"/>
        <w:gridCol w:w="1795"/>
        <w:gridCol w:w="2759"/>
        <w:gridCol w:w="2075"/>
      </w:tblGrid>
      <w:tr w:rsidR="002D3FFE" w:rsidRPr="00B81F46" w14:paraId="231B62E7" w14:textId="77777777" w:rsidTr="00942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right w:val="none" w:sz="0" w:space="0" w:color="auto"/>
            </w:tcBorders>
            <w:shd w:val="clear" w:color="auto" w:fill="8DB3E2"/>
          </w:tcPr>
          <w:p w14:paraId="6125F4E2" w14:textId="77777777" w:rsidR="002D3FFE" w:rsidRPr="00B81F46" w:rsidRDefault="002D3FFE" w:rsidP="0006275C">
            <w:pPr>
              <w:jc w:val="both"/>
              <w:rPr>
                <w:rFonts w:ascii="Museo Sans 100" w:hAnsi="Museo Sans 100" w:cstheme="minorHAnsi"/>
                <w:sz w:val="18"/>
                <w:szCs w:val="18"/>
              </w:rPr>
            </w:pPr>
            <w:r w:rsidRPr="00B81F46">
              <w:rPr>
                <w:rFonts w:ascii="Museo Sans 100" w:hAnsi="Museo Sans 100" w:cstheme="minorHAnsi"/>
                <w:sz w:val="18"/>
                <w:szCs w:val="18"/>
              </w:rPr>
              <w:t>Element of Remuneration</w:t>
            </w:r>
          </w:p>
        </w:tc>
        <w:tc>
          <w:tcPr>
            <w:tcW w:w="1942" w:type="dxa"/>
            <w:tcBorders>
              <w:top w:val="none" w:sz="0" w:space="0" w:color="auto"/>
              <w:left w:val="none" w:sz="0" w:space="0" w:color="auto"/>
              <w:bottom w:val="none" w:sz="0" w:space="0" w:color="auto"/>
              <w:right w:val="none" w:sz="0" w:space="0" w:color="auto"/>
            </w:tcBorders>
            <w:shd w:val="clear" w:color="auto" w:fill="8DB3E2"/>
          </w:tcPr>
          <w:p w14:paraId="083073FF" w14:textId="77777777" w:rsidR="002D3FFE" w:rsidRPr="00B81F46" w:rsidRDefault="002D3FFE" w:rsidP="0006275C">
            <w:pPr>
              <w:jc w:val="both"/>
              <w:cnfStyle w:val="100000000000" w:firstRow="1" w:lastRow="0" w:firstColumn="0" w:lastColumn="0" w:oddVBand="0" w:evenVBand="0" w:oddHBand="0" w:evenHBand="0" w:firstRowFirstColumn="0" w:firstRowLastColumn="0" w:lastRowFirstColumn="0" w:lastRowLastColumn="0"/>
              <w:rPr>
                <w:rFonts w:ascii="Museo Sans 100" w:hAnsi="Museo Sans 100" w:cstheme="minorHAnsi"/>
                <w:sz w:val="18"/>
                <w:szCs w:val="18"/>
              </w:rPr>
            </w:pPr>
            <w:r w:rsidRPr="00B81F46">
              <w:rPr>
                <w:rFonts w:ascii="Museo Sans 100" w:hAnsi="Museo Sans 100" w:cstheme="minorHAnsi"/>
                <w:sz w:val="18"/>
                <w:szCs w:val="18"/>
              </w:rPr>
              <w:t>Purpose and Link to Strategy</w:t>
            </w:r>
          </w:p>
        </w:tc>
        <w:tc>
          <w:tcPr>
            <w:tcW w:w="1795" w:type="dxa"/>
            <w:tcBorders>
              <w:top w:val="none" w:sz="0" w:space="0" w:color="auto"/>
              <w:left w:val="none" w:sz="0" w:space="0" w:color="auto"/>
              <w:bottom w:val="none" w:sz="0" w:space="0" w:color="auto"/>
              <w:right w:val="none" w:sz="0" w:space="0" w:color="auto"/>
            </w:tcBorders>
            <w:shd w:val="clear" w:color="auto" w:fill="8DB3E2"/>
          </w:tcPr>
          <w:p w14:paraId="45DEB4B6" w14:textId="77777777" w:rsidR="002D3FFE" w:rsidRPr="00B81F46" w:rsidRDefault="002D3FFE" w:rsidP="0006275C">
            <w:pPr>
              <w:jc w:val="both"/>
              <w:cnfStyle w:val="100000000000" w:firstRow="1" w:lastRow="0" w:firstColumn="0" w:lastColumn="0" w:oddVBand="0" w:evenVBand="0" w:oddHBand="0" w:evenHBand="0" w:firstRowFirstColumn="0" w:firstRowLastColumn="0" w:lastRowFirstColumn="0" w:lastRowLastColumn="0"/>
              <w:rPr>
                <w:rFonts w:ascii="Museo Sans 100" w:hAnsi="Museo Sans 100" w:cstheme="minorHAnsi"/>
                <w:sz w:val="18"/>
                <w:szCs w:val="18"/>
              </w:rPr>
            </w:pPr>
            <w:r w:rsidRPr="00B81F46">
              <w:rPr>
                <w:rFonts w:ascii="Museo Sans 100" w:hAnsi="Museo Sans 100" w:cstheme="minorHAnsi"/>
                <w:sz w:val="18"/>
                <w:szCs w:val="18"/>
              </w:rPr>
              <w:t>Operation</w:t>
            </w:r>
          </w:p>
        </w:tc>
        <w:tc>
          <w:tcPr>
            <w:tcW w:w="2759" w:type="dxa"/>
            <w:tcBorders>
              <w:top w:val="none" w:sz="0" w:space="0" w:color="auto"/>
              <w:left w:val="none" w:sz="0" w:space="0" w:color="auto"/>
              <w:bottom w:val="none" w:sz="0" w:space="0" w:color="auto"/>
              <w:right w:val="none" w:sz="0" w:space="0" w:color="auto"/>
            </w:tcBorders>
            <w:shd w:val="clear" w:color="auto" w:fill="8DB3E2"/>
          </w:tcPr>
          <w:p w14:paraId="0BC77101" w14:textId="77777777" w:rsidR="002D3FFE" w:rsidRPr="00B81F46" w:rsidRDefault="002D3FFE" w:rsidP="0006275C">
            <w:pPr>
              <w:jc w:val="both"/>
              <w:cnfStyle w:val="100000000000" w:firstRow="1" w:lastRow="0" w:firstColumn="0" w:lastColumn="0" w:oddVBand="0" w:evenVBand="0" w:oddHBand="0" w:evenHBand="0" w:firstRowFirstColumn="0" w:firstRowLastColumn="0" w:lastRowFirstColumn="0" w:lastRowLastColumn="0"/>
              <w:rPr>
                <w:rFonts w:ascii="Museo Sans 100" w:hAnsi="Museo Sans 100" w:cstheme="minorHAnsi"/>
                <w:sz w:val="18"/>
                <w:szCs w:val="18"/>
              </w:rPr>
            </w:pPr>
            <w:r w:rsidRPr="00B81F46">
              <w:rPr>
                <w:rFonts w:ascii="Museo Sans 100" w:hAnsi="Museo Sans 100" w:cstheme="minorHAnsi"/>
                <w:sz w:val="18"/>
                <w:szCs w:val="18"/>
              </w:rPr>
              <w:t>Maximum</w:t>
            </w:r>
          </w:p>
        </w:tc>
        <w:tc>
          <w:tcPr>
            <w:tcW w:w="2075" w:type="dxa"/>
            <w:tcBorders>
              <w:top w:val="none" w:sz="0" w:space="0" w:color="auto"/>
              <w:left w:val="none" w:sz="0" w:space="0" w:color="auto"/>
              <w:bottom w:val="none" w:sz="0" w:space="0" w:color="auto"/>
              <w:right w:val="none" w:sz="0" w:space="0" w:color="auto"/>
            </w:tcBorders>
            <w:shd w:val="clear" w:color="auto" w:fill="8DB3E2"/>
          </w:tcPr>
          <w:p w14:paraId="7D46E064" w14:textId="77777777" w:rsidR="002D3FFE" w:rsidRPr="00B81F46" w:rsidRDefault="002D3FFE" w:rsidP="0006275C">
            <w:pPr>
              <w:jc w:val="both"/>
              <w:cnfStyle w:val="100000000000" w:firstRow="1" w:lastRow="0" w:firstColumn="0" w:lastColumn="0" w:oddVBand="0" w:evenVBand="0" w:oddHBand="0" w:evenHBand="0" w:firstRowFirstColumn="0" w:firstRowLastColumn="0" w:lastRowFirstColumn="0" w:lastRowLastColumn="0"/>
              <w:rPr>
                <w:rFonts w:ascii="Museo Sans 100" w:hAnsi="Museo Sans 100" w:cstheme="minorHAnsi"/>
                <w:sz w:val="18"/>
                <w:szCs w:val="18"/>
              </w:rPr>
            </w:pPr>
            <w:r w:rsidRPr="00B81F46">
              <w:rPr>
                <w:rFonts w:ascii="Museo Sans 100" w:hAnsi="Museo Sans 100" w:cstheme="minorHAnsi"/>
                <w:sz w:val="18"/>
                <w:szCs w:val="18"/>
              </w:rPr>
              <w:t>Performance Targets</w:t>
            </w:r>
          </w:p>
        </w:tc>
      </w:tr>
      <w:tr w:rsidR="002070D1" w:rsidRPr="00A134C6" w14:paraId="3E4F6918" w14:textId="77777777" w:rsidTr="0094234F">
        <w:trPr>
          <w:cnfStyle w:val="000000100000" w:firstRow="0" w:lastRow="0" w:firstColumn="0" w:lastColumn="0" w:oddVBand="0" w:evenVBand="0" w:oddHBand="1" w:evenHBand="0" w:firstRowFirstColumn="0" w:firstRowLastColumn="0" w:lastRowFirstColumn="0" w:lastRowLastColumn="0"/>
          <w:trHeight w:val="2563"/>
        </w:trPr>
        <w:tc>
          <w:tcPr>
            <w:cnfStyle w:val="001000000000" w:firstRow="0" w:lastRow="0" w:firstColumn="1" w:lastColumn="0" w:oddVBand="0" w:evenVBand="0" w:oddHBand="0" w:evenHBand="0" w:firstRowFirstColumn="0" w:firstRowLastColumn="0" w:lastRowFirstColumn="0" w:lastRowLastColumn="0"/>
            <w:tcW w:w="1579" w:type="dxa"/>
            <w:shd w:val="clear" w:color="auto" w:fill="auto"/>
          </w:tcPr>
          <w:p w14:paraId="6CADF415" w14:textId="77777777" w:rsidR="002070D1" w:rsidRPr="00B81F46" w:rsidRDefault="002070D1" w:rsidP="002070D1">
            <w:pPr>
              <w:jc w:val="both"/>
              <w:rPr>
                <w:rFonts w:ascii="Museo Sans 100" w:hAnsi="Museo Sans 100" w:cstheme="minorHAnsi"/>
                <w:sz w:val="18"/>
                <w:szCs w:val="18"/>
              </w:rPr>
            </w:pPr>
            <w:r w:rsidRPr="00B81F46">
              <w:rPr>
                <w:rFonts w:ascii="Museo Sans 100" w:hAnsi="Museo Sans 100" w:cstheme="minorHAnsi"/>
                <w:sz w:val="18"/>
                <w:szCs w:val="18"/>
              </w:rPr>
              <w:t>Fees</w:t>
            </w:r>
          </w:p>
        </w:tc>
        <w:tc>
          <w:tcPr>
            <w:tcW w:w="1942" w:type="dxa"/>
            <w:shd w:val="clear" w:color="auto" w:fill="auto"/>
          </w:tcPr>
          <w:p w14:paraId="5CD2B54C" w14:textId="77777777" w:rsidR="002070D1" w:rsidRPr="00C00BF6" w:rsidRDefault="002070D1" w:rsidP="002070D1">
            <w:pPr>
              <w:pStyle w:val="ListParagraph"/>
              <w:numPr>
                <w:ilvl w:val="0"/>
                <w:numId w:val="13"/>
              </w:numPr>
              <w:ind w:left="193" w:hanging="141"/>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Reflects time commitments and responsibilities of each role</w:t>
            </w:r>
          </w:p>
          <w:p w14:paraId="1A820C03" w14:textId="77777777" w:rsidR="002070D1" w:rsidRPr="00C00BF6" w:rsidRDefault="002070D1" w:rsidP="002070D1">
            <w:pPr>
              <w:pStyle w:val="ListParagraph"/>
              <w:numPr>
                <w:ilvl w:val="0"/>
                <w:numId w:val="13"/>
              </w:numPr>
              <w:ind w:left="193" w:hanging="141"/>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Reflects fees paid by financial institutions of similar size, characteristics, and sector comparators</w:t>
            </w:r>
          </w:p>
          <w:p w14:paraId="1452D3D7" w14:textId="77777777" w:rsidR="002070D1" w:rsidRPr="00B81F46" w:rsidRDefault="002070D1" w:rsidP="002070D1">
            <w:pPr>
              <w:pStyle w:val="ListParagraph"/>
              <w:ind w:left="193"/>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sz w:val="18"/>
                <w:szCs w:val="18"/>
              </w:rPr>
            </w:pPr>
          </w:p>
        </w:tc>
        <w:tc>
          <w:tcPr>
            <w:tcW w:w="1795" w:type="dxa"/>
            <w:shd w:val="clear" w:color="auto" w:fill="auto"/>
          </w:tcPr>
          <w:p w14:paraId="2D561A61" w14:textId="77777777" w:rsidR="002070D1" w:rsidRPr="00C00BF6" w:rsidRDefault="002070D1" w:rsidP="002070D1">
            <w:pPr>
              <w:pStyle w:val="ListParagraph"/>
              <w:numPr>
                <w:ilvl w:val="0"/>
                <w:numId w:val="13"/>
              </w:numPr>
              <w:ind w:left="130" w:hanging="13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Cash fee paid</w:t>
            </w:r>
          </w:p>
          <w:p w14:paraId="5B3EC08C" w14:textId="77777777" w:rsidR="002070D1" w:rsidRPr="00C00BF6" w:rsidRDefault="002070D1" w:rsidP="002070D1">
            <w:pPr>
              <w:pStyle w:val="ListParagraph"/>
              <w:numPr>
                <w:ilvl w:val="0"/>
                <w:numId w:val="13"/>
              </w:numPr>
              <w:ind w:left="130" w:hanging="13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Reviewed on an annual basis</w:t>
            </w:r>
          </w:p>
          <w:p w14:paraId="116D9560" w14:textId="77777777" w:rsidR="002070D1" w:rsidRPr="00C00BF6" w:rsidRDefault="002070D1" w:rsidP="002070D1">
            <w:pPr>
              <w:pStyle w:val="ListParagraph"/>
              <w:numPr>
                <w:ilvl w:val="0"/>
                <w:numId w:val="13"/>
              </w:numPr>
              <w:ind w:left="130" w:hanging="13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NED fees are considered and approved by the Shareholders and Chair</w:t>
            </w:r>
          </w:p>
          <w:p w14:paraId="633F8895" w14:textId="34084789" w:rsidR="002070D1" w:rsidRPr="00B81F46" w:rsidRDefault="002070D1" w:rsidP="002070D1">
            <w:pPr>
              <w:pStyle w:val="ListParagraph"/>
              <w:numPr>
                <w:ilvl w:val="0"/>
                <w:numId w:val="13"/>
              </w:numPr>
              <w:ind w:left="130" w:hanging="130"/>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sz w:val="18"/>
                <w:szCs w:val="18"/>
              </w:rPr>
            </w:pPr>
            <w:r w:rsidRPr="00C00BF6">
              <w:rPr>
                <w:rFonts w:cstheme="minorHAnsi"/>
                <w:sz w:val="18"/>
                <w:szCs w:val="18"/>
              </w:rPr>
              <w:t>Chair fees are approved by Performance &amp; Remuneration Committee</w:t>
            </w:r>
          </w:p>
        </w:tc>
        <w:tc>
          <w:tcPr>
            <w:tcW w:w="2759" w:type="dxa"/>
            <w:shd w:val="clear" w:color="auto" w:fill="auto"/>
          </w:tcPr>
          <w:p w14:paraId="3CAD2D6F" w14:textId="5203F710" w:rsidR="002070D1" w:rsidRPr="00C00BF6" w:rsidRDefault="002070D1" w:rsidP="002070D1">
            <w:pPr>
              <w:pStyle w:val="ListParagraph"/>
              <w:numPr>
                <w:ilvl w:val="0"/>
                <w:numId w:val="13"/>
              </w:numPr>
              <w:ind w:left="193" w:hanging="141"/>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sz w:val="18"/>
                <w:szCs w:val="18"/>
              </w:rPr>
              <w:t xml:space="preserve">There is no prescribed maximum annual increase.  All increases are guided by market rates and the general increase for the </w:t>
            </w:r>
            <w:r w:rsidR="00863BDF">
              <w:rPr>
                <w:rFonts w:cstheme="minorHAnsi"/>
                <w:sz w:val="18"/>
                <w:szCs w:val="18"/>
              </w:rPr>
              <w:t>E</w:t>
            </w:r>
            <w:r w:rsidRPr="00C00BF6">
              <w:rPr>
                <w:rFonts w:cstheme="minorHAnsi"/>
                <w:sz w:val="18"/>
                <w:szCs w:val="18"/>
              </w:rPr>
              <w:t xml:space="preserve">xecutive </w:t>
            </w:r>
            <w:r w:rsidR="00863BDF">
              <w:rPr>
                <w:rFonts w:cstheme="minorHAnsi"/>
                <w:sz w:val="18"/>
                <w:szCs w:val="18"/>
              </w:rPr>
              <w:t>D</w:t>
            </w:r>
            <w:r w:rsidRPr="00C00BF6">
              <w:rPr>
                <w:rFonts w:cstheme="minorHAnsi"/>
                <w:sz w:val="18"/>
                <w:szCs w:val="18"/>
              </w:rPr>
              <w:t>irector population</w:t>
            </w:r>
            <w:r w:rsidRPr="00C00BF6">
              <w:rPr>
                <w:rFonts w:cstheme="minorHAnsi"/>
                <w:b/>
                <w:bCs/>
                <w:sz w:val="18"/>
                <w:szCs w:val="18"/>
              </w:rPr>
              <w:t xml:space="preserve"> </w:t>
            </w:r>
          </w:p>
          <w:p w14:paraId="5AB4CCEB" w14:textId="77777777" w:rsidR="002070D1" w:rsidRPr="00C00BF6" w:rsidRDefault="002070D1" w:rsidP="002070D1">
            <w:pPr>
              <w:pStyle w:val="ListParagraph"/>
              <w:numPr>
                <w:ilvl w:val="0"/>
                <w:numId w:val="13"/>
              </w:numPr>
              <w:ind w:left="193" w:hanging="141"/>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bCs/>
                <w:sz w:val="18"/>
                <w:szCs w:val="18"/>
              </w:rPr>
              <w:t>NEDs who chair Board Committees receive an additional responsibility allowance of £6k</w:t>
            </w:r>
          </w:p>
          <w:p w14:paraId="65264C27" w14:textId="77777777" w:rsidR="002070D1" w:rsidRPr="00C00BF6" w:rsidRDefault="002070D1" w:rsidP="002070D1">
            <w:pPr>
              <w:pStyle w:val="ListParagraph"/>
              <w:numPr>
                <w:ilvl w:val="0"/>
                <w:numId w:val="13"/>
              </w:numPr>
              <w:ind w:left="193" w:hanging="141"/>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00BF6">
              <w:rPr>
                <w:rFonts w:cstheme="minorHAnsi"/>
                <w:bCs/>
                <w:sz w:val="18"/>
                <w:szCs w:val="18"/>
              </w:rPr>
              <w:t>The Senior Independent Director receives an additional responsibility allowance of £6k</w:t>
            </w:r>
          </w:p>
          <w:p w14:paraId="04B779C8" w14:textId="77777777" w:rsidR="002070D1" w:rsidRPr="00B81F46" w:rsidRDefault="002070D1" w:rsidP="002070D1">
            <w:pPr>
              <w:pStyle w:val="ListParagraph"/>
              <w:ind w:left="187"/>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sz w:val="18"/>
                <w:szCs w:val="18"/>
              </w:rPr>
            </w:pPr>
          </w:p>
        </w:tc>
        <w:tc>
          <w:tcPr>
            <w:tcW w:w="2075" w:type="dxa"/>
            <w:shd w:val="clear" w:color="auto" w:fill="auto"/>
          </w:tcPr>
          <w:p w14:paraId="0DC79FF0" w14:textId="2111BF1E" w:rsidR="002070D1" w:rsidRPr="00B81F46" w:rsidRDefault="002070D1" w:rsidP="002070D1">
            <w:pPr>
              <w:pStyle w:val="ListParagraph"/>
              <w:numPr>
                <w:ilvl w:val="0"/>
                <w:numId w:val="13"/>
              </w:numPr>
              <w:ind w:left="187" w:hanging="142"/>
              <w:cnfStyle w:val="000000100000" w:firstRow="0" w:lastRow="0" w:firstColumn="0" w:lastColumn="0" w:oddVBand="0" w:evenVBand="0" w:oddHBand="1" w:evenHBand="0" w:firstRowFirstColumn="0" w:firstRowLastColumn="0" w:lastRowFirstColumn="0" w:lastRowLastColumn="0"/>
              <w:rPr>
                <w:rFonts w:ascii="Museo Sans 100" w:hAnsi="Museo Sans 100" w:cstheme="minorHAnsi"/>
                <w:sz w:val="18"/>
                <w:szCs w:val="18"/>
              </w:rPr>
            </w:pPr>
            <w:r w:rsidRPr="00C00BF6">
              <w:rPr>
                <w:rFonts w:cstheme="minorHAnsi"/>
                <w:sz w:val="18"/>
                <w:szCs w:val="18"/>
              </w:rPr>
              <w:t>Non-executive directors do not participate in variable pay elements</w:t>
            </w:r>
          </w:p>
        </w:tc>
      </w:tr>
    </w:tbl>
    <w:p w14:paraId="077F8C53" w14:textId="3CCD227C" w:rsidR="0094234F" w:rsidRDefault="0094234F" w:rsidP="0006275C">
      <w:pPr>
        <w:spacing w:after="240"/>
        <w:jc w:val="both"/>
        <w:rPr>
          <w:b/>
          <w:bCs/>
          <w:color w:val="5B9BD5"/>
        </w:rPr>
      </w:pPr>
    </w:p>
    <w:p w14:paraId="4336EE05" w14:textId="24B0B0C3" w:rsidR="002D3FFE" w:rsidRPr="00A80EA6" w:rsidRDefault="0094234F" w:rsidP="0006275C">
      <w:pPr>
        <w:spacing w:after="240"/>
        <w:jc w:val="both"/>
        <w:rPr>
          <w:b/>
          <w:bCs/>
          <w:color w:val="5B9BD5"/>
        </w:rPr>
      </w:pPr>
      <w:r>
        <w:rPr>
          <w:b/>
          <w:bCs/>
          <w:color w:val="5B9BD5"/>
        </w:rPr>
        <w:br w:type="column"/>
      </w:r>
      <w:r w:rsidR="002D3FFE" w:rsidRPr="00A80EA6">
        <w:rPr>
          <w:b/>
          <w:bCs/>
          <w:color w:val="5B9BD5"/>
        </w:rPr>
        <w:lastRenderedPageBreak/>
        <w:t>Remuneration of Material Risk Takers</w:t>
      </w:r>
    </w:p>
    <w:p w14:paraId="79489F2D" w14:textId="6EF3D885" w:rsidR="00101E77" w:rsidRPr="00B27F3E" w:rsidRDefault="002D3FFE" w:rsidP="00101E77">
      <w:pPr>
        <w:spacing w:after="120" w:line="276" w:lineRule="auto"/>
        <w:jc w:val="both"/>
      </w:pPr>
      <w:r w:rsidRPr="001C1D9C">
        <w:t xml:space="preserve">The table below sets out the remuneration of the Bank’s Material Risk Takers. These members of staff have been classified as ‘Code Staff’ as they have a material impact on the risk profile of the Bank. There were no employees who earned </w:t>
      </w:r>
      <w:proofErr w:type="gramStart"/>
      <w:r w:rsidRPr="001C1D9C">
        <w:t xml:space="preserve">in excess </w:t>
      </w:r>
      <w:r w:rsidRPr="00042B6B">
        <w:t>of</w:t>
      </w:r>
      <w:proofErr w:type="gramEnd"/>
      <w:r w:rsidRPr="00042B6B">
        <w:t xml:space="preserve"> </w:t>
      </w:r>
      <w:r w:rsidR="0094234F">
        <w:t>£1m.</w:t>
      </w:r>
      <w:bookmarkStart w:id="61" w:name="_Hlk1997033"/>
    </w:p>
    <w:p w14:paraId="63BE58DD" w14:textId="4B2556E2" w:rsidR="00B27F3E" w:rsidRDefault="0065190C" w:rsidP="00101E77">
      <w:pPr>
        <w:spacing w:after="120" w:line="276" w:lineRule="auto"/>
        <w:jc w:val="both"/>
        <w:rPr>
          <w:b/>
          <w:bCs/>
          <w:color w:val="5B9BD5"/>
        </w:rPr>
      </w:pPr>
      <w:r w:rsidRPr="0065190C">
        <w:rPr>
          <w:b/>
          <w:bCs/>
          <w:noProof/>
          <w:color w:val="5B9BD5"/>
        </w:rPr>
        <w:drawing>
          <wp:inline distT="0" distB="0" distL="0" distR="0" wp14:anchorId="728301ED" wp14:editId="06301764">
            <wp:extent cx="5694045" cy="1231657"/>
            <wp:effectExtent l="19050" t="19050" r="20955" b="26035"/>
            <wp:docPr id="1771549920"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49920" name="Picture 1" descr="A close-up of a message&#10;&#10;Description automatically generated"/>
                    <pic:cNvPicPr/>
                  </pic:nvPicPr>
                  <pic:blipFill>
                    <a:blip r:embed="rId31"/>
                    <a:stretch>
                      <a:fillRect/>
                    </a:stretch>
                  </pic:blipFill>
                  <pic:spPr>
                    <a:xfrm>
                      <a:off x="0" y="0"/>
                      <a:ext cx="5728530" cy="1239116"/>
                    </a:xfrm>
                    <a:prstGeom prst="rect">
                      <a:avLst/>
                    </a:prstGeom>
                    <a:ln>
                      <a:solidFill>
                        <a:schemeClr val="tx1"/>
                      </a:solidFill>
                    </a:ln>
                  </pic:spPr>
                </pic:pic>
              </a:graphicData>
            </a:graphic>
          </wp:inline>
        </w:drawing>
      </w:r>
    </w:p>
    <w:p w14:paraId="30C986A3" w14:textId="77777777" w:rsidR="00CB3AA0" w:rsidRDefault="00CB3AA0" w:rsidP="0006275C">
      <w:pPr>
        <w:jc w:val="both"/>
        <w:rPr>
          <w:b/>
          <w:bCs/>
          <w:color w:val="5B9BD5"/>
        </w:rPr>
      </w:pPr>
    </w:p>
    <w:p w14:paraId="10A7E79F" w14:textId="77777777" w:rsidR="00CB3AA0" w:rsidRDefault="00CB3AA0" w:rsidP="0006275C">
      <w:pPr>
        <w:jc w:val="both"/>
        <w:rPr>
          <w:b/>
          <w:bCs/>
          <w:color w:val="5B9BD5"/>
        </w:rPr>
      </w:pPr>
    </w:p>
    <w:p w14:paraId="5D24E494" w14:textId="3E3EF774" w:rsidR="002D3FFE" w:rsidRPr="00853BF0" w:rsidRDefault="002D3FFE" w:rsidP="0006275C">
      <w:pPr>
        <w:jc w:val="both"/>
        <w:rPr>
          <w:color w:val="8496B0" w:themeColor="text2" w:themeTint="99"/>
        </w:rPr>
      </w:pPr>
      <w:r w:rsidRPr="00A80EA6">
        <w:rPr>
          <w:b/>
          <w:bCs/>
          <w:color w:val="5B9BD5"/>
        </w:rPr>
        <w:t>Remuneration of Staff by Business Area</w:t>
      </w:r>
    </w:p>
    <w:p w14:paraId="6B61DF59" w14:textId="77777777" w:rsidR="002D3FFE" w:rsidRPr="00655D21" w:rsidRDefault="002D3FFE" w:rsidP="0006275C">
      <w:pPr>
        <w:jc w:val="both"/>
        <w:rPr>
          <w:color w:val="8496B0" w:themeColor="text2" w:themeTint="99"/>
        </w:rPr>
      </w:pPr>
    </w:p>
    <w:p w14:paraId="4767F436" w14:textId="0847FD05" w:rsidR="002D3FFE" w:rsidRDefault="002D3FFE" w:rsidP="00CB3AA0">
      <w:pPr>
        <w:jc w:val="both"/>
      </w:pPr>
      <w:bookmarkStart w:id="62" w:name="_Hlk1577071"/>
      <w:r w:rsidRPr="00077354">
        <w:t>The table below shows the breakdown of staff costs by Business area during 20</w:t>
      </w:r>
      <w:r>
        <w:t>2</w:t>
      </w:r>
      <w:r w:rsidR="00A35B90">
        <w:t>3</w:t>
      </w:r>
      <w:r w:rsidRPr="00077354">
        <w:t xml:space="preserve">. </w:t>
      </w:r>
      <w:bookmarkEnd w:id="61"/>
      <w:bookmarkEnd w:id="62"/>
    </w:p>
    <w:p w14:paraId="374A2761" w14:textId="05FCE291" w:rsidR="00CB3AA0" w:rsidRDefault="00CB3AA0" w:rsidP="00CB3AA0">
      <w:pPr>
        <w:jc w:val="both"/>
      </w:pPr>
    </w:p>
    <w:p w14:paraId="34234466" w14:textId="7724F934" w:rsidR="00AF668D" w:rsidRDefault="00006F7C" w:rsidP="00CB3AA0">
      <w:pPr>
        <w:jc w:val="both"/>
      </w:pPr>
      <w:r w:rsidRPr="00006F7C">
        <w:rPr>
          <w:noProof/>
        </w:rPr>
        <w:drawing>
          <wp:inline distT="0" distB="0" distL="0" distR="0" wp14:anchorId="607929D6" wp14:editId="17DBE14D">
            <wp:extent cx="5674995" cy="1321314"/>
            <wp:effectExtent l="19050" t="19050" r="20955" b="12700"/>
            <wp:docPr id="1363439339" name="Picture 1" descr="A blue and whit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39339" name="Picture 1" descr="A blue and white striped background&#10;&#10;Description automatically generated"/>
                    <pic:cNvPicPr/>
                  </pic:nvPicPr>
                  <pic:blipFill>
                    <a:blip r:embed="rId32"/>
                    <a:stretch>
                      <a:fillRect/>
                    </a:stretch>
                  </pic:blipFill>
                  <pic:spPr>
                    <a:xfrm>
                      <a:off x="0" y="0"/>
                      <a:ext cx="5708788" cy="1329182"/>
                    </a:xfrm>
                    <a:prstGeom prst="rect">
                      <a:avLst/>
                    </a:prstGeom>
                    <a:ln>
                      <a:solidFill>
                        <a:schemeClr val="tx1"/>
                      </a:solidFill>
                    </a:ln>
                  </pic:spPr>
                </pic:pic>
              </a:graphicData>
            </a:graphic>
          </wp:inline>
        </w:drawing>
      </w:r>
    </w:p>
    <w:p w14:paraId="5DCF072E" w14:textId="77777777" w:rsidR="00CB3AA0" w:rsidRDefault="00CB3AA0" w:rsidP="00253381">
      <w:pPr>
        <w:spacing w:line="276" w:lineRule="auto"/>
        <w:jc w:val="both"/>
        <w:rPr>
          <w:rFonts w:cs="Museo Sans"/>
          <w:color w:val="000000"/>
        </w:rPr>
      </w:pPr>
      <w:bookmarkStart w:id="63" w:name="_Toc357688437"/>
      <w:bookmarkStart w:id="64" w:name="_Toc448910899"/>
      <w:bookmarkStart w:id="65" w:name="_Toc448912291"/>
      <w:bookmarkStart w:id="66" w:name="_Toc453142544"/>
      <w:bookmarkStart w:id="67" w:name="_Toc475435277"/>
    </w:p>
    <w:p w14:paraId="5E2B91D6" w14:textId="50EB75D9" w:rsidR="00253381" w:rsidRPr="00F66728" w:rsidRDefault="00253381" w:rsidP="00253381">
      <w:pPr>
        <w:spacing w:line="276" w:lineRule="auto"/>
        <w:jc w:val="both"/>
        <w:rPr>
          <w:rFonts w:cs="Museo Sans"/>
          <w:color w:val="000000"/>
        </w:rPr>
      </w:pPr>
      <w:r w:rsidRPr="00F66728">
        <w:rPr>
          <w:rFonts w:cs="Museo Sans"/>
          <w:color w:val="000000"/>
        </w:rPr>
        <w:t xml:space="preserve">Additional disclosures on </w:t>
      </w:r>
      <w:r>
        <w:rPr>
          <w:rFonts w:cs="Museo Sans"/>
          <w:color w:val="000000"/>
        </w:rPr>
        <w:t>Re</w:t>
      </w:r>
      <w:r w:rsidR="004C19C9">
        <w:rPr>
          <w:rFonts w:cs="Museo Sans"/>
          <w:color w:val="000000"/>
        </w:rPr>
        <w:t>m</w:t>
      </w:r>
      <w:r>
        <w:rPr>
          <w:rFonts w:cs="Museo Sans"/>
          <w:color w:val="000000"/>
        </w:rPr>
        <w:t>u</w:t>
      </w:r>
      <w:r w:rsidR="004C19C9">
        <w:rPr>
          <w:rFonts w:cs="Museo Sans"/>
          <w:color w:val="000000"/>
        </w:rPr>
        <w:t>n</w:t>
      </w:r>
      <w:r>
        <w:rPr>
          <w:rFonts w:cs="Museo Sans"/>
          <w:color w:val="000000"/>
        </w:rPr>
        <w:t>eration</w:t>
      </w:r>
      <w:r w:rsidRPr="00F66728">
        <w:rPr>
          <w:rFonts w:cs="Museo Sans"/>
          <w:color w:val="000000"/>
        </w:rPr>
        <w:t xml:space="preserve"> are contained in the 202</w:t>
      </w:r>
      <w:r w:rsidR="00A35B90">
        <w:rPr>
          <w:rFonts w:cs="Museo Sans"/>
          <w:color w:val="000000"/>
        </w:rPr>
        <w:t>3</w:t>
      </w:r>
      <w:r w:rsidRPr="00F66728">
        <w:rPr>
          <w:rFonts w:cs="Museo Sans"/>
          <w:color w:val="000000"/>
        </w:rPr>
        <w:t xml:space="preserve"> Annual Report and Financial Statements</w:t>
      </w:r>
      <w:r>
        <w:rPr>
          <w:rFonts w:cs="Museo Sans"/>
          <w:color w:val="000000"/>
        </w:rPr>
        <w:t>.</w:t>
      </w:r>
      <w:bookmarkEnd w:id="63"/>
      <w:bookmarkEnd w:id="64"/>
      <w:bookmarkEnd w:id="65"/>
      <w:bookmarkEnd w:id="66"/>
      <w:bookmarkEnd w:id="67"/>
    </w:p>
    <w:sectPr w:rsidR="00253381" w:rsidRPr="00F66728" w:rsidSect="00FA2D4F">
      <w:pgSz w:w="11906" w:h="16838"/>
      <w:pgMar w:top="1440" w:right="1440" w:bottom="1134"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1376" w14:textId="77777777" w:rsidR="00815843" w:rsidRDefault="00815843" w:rsidP="002D3FFE">
      <w:r>
        <w:separator/>
      </w:r>
    </w:p>
  </w:endnote>
  <w:endnote w:type="continuationSeparator" w:id="0">
    <w:p w14:paraId="744749B9" w14:textId="77777777" w:rsidR="00815843" w:rsidRDefault="00815843" w:rsidP="002D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100">
    <w:panose1 w:val="02000000000000000000"/>
    <w:charset w:val="00"/>
    <w:family w:val="auto"/>
    <w:pitch w:val="variable"/>
    <w:sig w:usb0="A00000AF" w:usb1="4000004A" w:usb2="00000000" w:usb3="00000000" w:csb0="00000093" w:csb1="00000000"/>
  </w:font>
  <w:font w:name="Museo Sans 300">
    <w:altName w:val="Calibri"/>
    <w:panose1 w:val="02000000000000000000"/>
    <w:charset w:val="00"/>
    <w:family w:val="auto"/>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SansLF-Regular">
    <w:altName w:val="Calibri"/>
    <w:panose1 w:val="00000000000000000000"/>
    <w:charset w:val="00"/>
    <w:family w:val="swiss"/>
    <w:notTrueType/>
    <w:pitch w:val="default"/>
    <w:sig w:usb0="00000003" w:usb1="00000000" w:usb2="00000000" w:usb3="00000000" w:csb0="00000001" w:csb1="00000000"/>
  </w:font>
  <w:font w:name="Museo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4B69" w14:textId="3D5612E8" w:rsidR="002D3FFE" w:rsidRDefault="00564F3C">
    <w:pPr>
      <w:pStyle w:val="Footer"/>
    </w:pPr>
    <w:r>
      <w:rPr>
        <w:noProof/>
      </w:rPr>
      <mc:AlternateContent>
        <mc:Choice Requires="wps">
          <w:drawing>
            <wp:anchor distT="0" distB="0" distL="114300" distR="114300" simplePos="0" relativeHeight="251710464" behindDoc="0" locked="0" layoutInCell="0" allowOverlap="1" wp14:anchorId="2A2029FF" wp14:editId="180553C9">
              <wp:simplePos x="0" y="0"/>
              <wp:positionH relativeFrom="page">
                <wp:align>center</wp:align>
              </wp:positionH>
              <wp:positionV relativeFrom="page">
                <wp:align>bottom</wp:align>
              </wp:positionV>
              <wp:extent cx="7772400" cy="463550"/>
              <wp:effectExtent l="0" t="0" r="0" b="12700"/>
              <wp:wrapNone/>
              <wp:docPr id="32" name="MSIPCMc27b4be89e871d91dba43bae" descr="{&quot;HashCode&quot;:187067351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4477A" w14:textId="1B504F41" w:rsidR="00564F3C" w:rsidRPr="00CF2FB0" w:rsidRDefault="00564F3C" w:rsidP="00CF2FB0">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2029FF" id="_x0000_t202" coordsize="21600,21600" o:spt="202" path="m,l,21600r21600,l21600,xe">
              <v:stroke joinstyle="miter"/>
              <v:path gradientshapeok="t" o:connecttype="rect"/>
            </v:shapetype>
            <v:shape id="MSIPCMc27b4be89e871d91dba43bae" o:spid="_x0000_s1026" type="#_x0000_t202" alt="{&quot;HashCode&quot;:1870673518,&quot;Height&quot;:9999999.0,&quot;Width&quot;:9999999.0,&quot;Placement&quot;:&quot;Footer&quot;,&quot;Index&quot;:&quot;Primary&quot;,&quot;Section&quot;:1,&quot;Top&quot;:0.0,&quot;Left&quot;:0.0}" style="position:absolute;margin-left:0;margin-top:0;width:612pt;height:36.5pt;z-index:2517104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5B4477A" w14:textId="1B504F41" w:rsidR="00564F3C" w:rsidRPr="00CF2FB0" w:rsidRDefault="00564F3C" w:rsidP="00CF2FB0">
                    <w:pPr>
                      <w:jc w:val="center"/>
                      <w:rPr>
                        <w:rFonts w:ascii="Calibri" w:hAnsi="Calibri" w:cs="Calibri"/>
                        <w:color w:val="000000"/>
                      </w:rPr>
                    </w:pPr>
                  </w:p>
                </w:txbxContent>
              </v:textbox>
              <w10:wrap anchorx="page" anchory="page"/>
            </v:shape>
          </w:pict>
        </mc:Fallback>
      </mc:AlternateContent>
    </w:r>
    <w:r w:rsidR="002D3FFE">
      <w:rPr>
        <w:noProof/>
      </w:rPr>
      <mc:AlternateContent>
        <mc:Choice Requires="wps">
          <w:drawing>
            <wp:anchor distT="0" distB="0" distL="114300" distR="114300" simplePos="0" relativeHeight="251661312" behindDoc="0" locked="0" layoutInCell="0" allowOverlap="1" wp14:anchorId="7EA3BB16" wp14:editId="51D7A3B2">
              <wp:simplePos x="0" y="0"/>
              <wp:positionH relativeFrom="page">
                <wp:align>center</wp:align>
              </wp:positionH>
              <wp:positionV relativeFrom="page">
                <wp:align>bottom</wp:align>
              </wp:positionV>
              <wp:extent cx="7772400" cy="463550"/>
              <wp:effectExtent l="0" t="3810" r="3175" b="0"/>
              <wp:wrapNone/>
              <wp:docPr id="10" name="Text Box 10" descr="{&quot;HashCode&quot;:187067351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294D2F" w14:textId="77777777" w:rsidR="002D3FFE" w:rsidRPr="00A8367E" w:rsidRDefault="002D3FFE" w:rsidP="00A8367E">
                          <w:pPr>
                            <w:jc w:val="center"/>
                            <w:rPr>
                              <w:rFonts w:ascii="Calibri" w:hAnsi="Calibri" w:cs="Calibri"/>
                              <w:color w:val="000000"/>
                            </w:rPr>
                          </w:pPr>
                          <w:r w:rsidRPr="00A8367E">
                            <w:rPr>
                              <w:rFonts w:ascii="Calibri" w:hAnsi="Calibri" w:cs="Calibri"/>
                              <w:color w:val="000000"/>
                            </w:rPr>
                            <w:t>Cambridge &amp; Counties Bank - Internal Commercially Sensitive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A3BB16" id="Text Box 10" o:spid="_x0000_s1027" type="#_x0000_t202" alt="{&quot;HashCode&quot;:1870673518,&quot;Height&quot;:9999999.0,&quot;Width&quot;:9999999.0,&quot;Placement&quot;:&quot;Footer&quot;,&quot;Index&quot;:&quot;Primary&quot;,&quot;Section&quot;:1,&quot;Top&quot;:0.0,&quot;Left&quot;:0.0}" style="position:absolute;margin-left:0;margin-top:0;width:612pt;height:36.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riNVXgAQAAogMAAA4AAAAAAAAAAAAAAAAALgIAAGRycy9lMm9Eb2MueG1sUEsBAi0AFAAGAAgA&#10;AAAhAL4fCrfaAAAABQEAAA8AAAAAAAAAAAAAAAAAOgQAAGRycy9kb3ducmV2LnhtbFBLBQYAAAAA&#10;BAAEAPMAAABBBQAAAAA=&#10;" o:allowincell="f" filled="f" stroked="f" strokeweight=".5pt">
              <v:textbox inset=",0,,0">
                <w:txbxContent>
                  <w:p w14:paraId="3C294D2F" w14:textId="77777777" w:rsidR="002D3FFE" w:rsidRPr="00A8367E" w:rsidRDefault="002D3FFE" w:rsidP="00A8367E">
                    <w:pPr>
                      <w:jc w:val="center"/>
                      <w:rPr>
                        <w:rFonts w:ascii="Calibri" w:hAnsi="Calibri" w:cs="Calibri"/>
                        <w:color w:val="000000"/>
                      </w:rPr>
                    </w:pPr>
                    <w:r w:rsidRPr="00A8367E">
                      <w:rPr>
                        <w:rFonts w:ascii="Calibri" w:hAnsi="Calibri" w:cs="Calibri"/>
                        <w:color w:val="000000"/>
                      </w:rPr>
                      <w:t>Cambridge &amp; Counties Bank - Internal Commercially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C7CD" w14:textId="6EDE3769" w:rsidR="002D3FFE" w:rsidRDefault="004C309A">
    <w:pPr>
      <w:pStyle w:val="Footer"/>
      <w:jc w:val="right"/>
    </w:pPr>
    <w:r>
      <w:rPr>
        <w:noProof/>
      </w:rPr>
      <mc:AlternateContent>
        <mc:Choice Requires="wps">
          <w:drawing>
            <wp:anchor distT="0" distB="0" distL="114300" distR="114300" simplePos="0" relativeHeight="251711488" behindDoc="0" locked="0" layoutInCell="0" allowOverlap="1" wp14:anchorId="5E009A46" wp14:editId="42A3B47A">
              <wp:simplePos x="0" y="0"/>
              <wp:positionH relativeFrom="page">
                <wp:align>center</wp:align>
              </wp:positionH>
              <wp:positionV relativeFrom="page">
                <wp:align>bottom</wp:align>
              </wp:positionV>
              <wp:extent cx="7772400" cy="463550"/>
              <wp:effectExtent l="0" t="0" r="0" b="12700"/>
              <wp:wrapNone/>
              <wp:docPr id="31" name="MSIPCMe01d4f37a133b4bfd0b48b00" descr="{&quot;HashCode&quot;:187067351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2990D" w14:textId="02E96131" w:rsidR="004C309A" w:rsidRPr="00CF2FB0" w:rsidRDefault="00CF2FB0" w:rsidP="00CF2FB0">
                          <w:pPr>
                            <w:jc w:val="center"/>
                            <w:rPr>
                              <w:rFonts w:ascii="Calibri" w:hAnsi="Calibri" w:cs="Calibri"/>
                              <w:color w:val="000000"/>
                            </w:rPr>
                          </w:pPr>
                          <w:r w:rsidRPr="00CF2FB0">
                            <w:rPr>
                              <w:rFonts w:ascii="Calibri" w:hAnsi="Calibri" w:cs="Calibri"/>
                              <w:color w:val="000000"/>
                            </w:rPr>
                            <w:t>Cambridge &amp; Counties Bank - Internal Commercially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009A46" id="_x0000_t202" coordsize="21600,21600" o:spt="202" path="m,l,21600r21600,l21600,xe">
              <v:stroke joinstyle="miter"/>
              <v:path gradientshapeok="t" o:connecttype="rect"/>
            </v:shapetype>
            <v:shape id="MSIPCMe01d4f37a133b4bfd0b48b00" o:spid="_x0000_s1028" type="#_x0000_t202" alt="{&quot;HashCode&quot;:1870673518,&quot;Height&quot;:9999999.0,&quot;Width&quot;:9999999.0,&quot;Placement&quot;:&quot;Footer&quot;,&quot;Index&quot;:&quot;Primary&quot;,&quot;Section&quot;:2,&quot;Top&quot;:0.0,&quot;Left&quot;:0.0}" style="position:absolute;left:0;text-align:left;margin-left:0;margin-top:0;width:612pt;height:36.5pt;z-index:2517114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1172990D" w14:textId="02E96131" w:rsidR="004C309A" w:rsidRPr="00CF2FB0" w:rsidRDefault="00CF2FB0" w:rsidP="00CF2FB0">
                    <w:pPr>
                      <w:jc w:val="center"/>
                      <w:rPr>
                        <w:rFonts w:ascii="Calibri" w:hAnsi="Calibri" w:cs="Calibri"/>
                        <w:color w:val="000000"/>
                      </w:rPr>
                    </w:pPr>
                    <w:r w:rsidRPr="00CF2FB0">
                      <w:rPr>
                        <w:rFonts w:ascii="Calibri" w:hAnsi="Calibri" w:cs="Calibri"/>
                        <w:color w:val="000000"/>
                      </w:rPr>
                      <w:t>Cambridge &amp; Counties Bank - Internal Commercially Sensitive</w:t>
                    </w:r>
                  </w:p>
                </w:txbxContent>
              </v:textbox>
              <w10:wrap anchorx="page" anchory="page"/>
            </v:shape>
          </w:pict>
        </mc:Fallback>
      </mc:AlternateContent>
    </w:r>
    <w:sdt>
      <w:sdtPr>
        <w:id w:val="1063681891"/>
        <w:docPartObj>
          <w:docPartGallery w:val="Page Numbers (Bottom of Page)"/>
          <w:docPartUnique/>
        </w:docPartObj>
      </w:sdtPr>
      <w:sdtEndPr>
        <w:rPr>
          <w:noProof/>
        </w:rPr>
      </w:sdtEndPr>
      <w:sdtContent>
        <w:r w:rsidR="002D3FFE">
          <w:fldChar w:fldCharType="begin"/>
        </w:r>
        <w:r w:rsidR="002D3FFE">
          <w:instrText xml:space="preserve"> PAGE   \* MERGEFORMAT </w:instrText>
        </w:r>
        <w:r w:rsidR="002D3FFE">
          <w:fldChar w:fldCharType="separate"/>
        </w:r>
        <w:r w:rsidR="002D3FFE">
          <w:rPr>
            <w:noProof/>
          </w:rPr>
          <w:t>2</w:t>
        </w:r>
        <w:r w:rsidR="002D3FFE">
          <w:rPr>
            <w:noProof/>
          </w:rPr>
          <w:fldChar w:fldCharType="end"/>
        </w:r>
      </w:sdtContent>
    </w:sdt>
  </w:p>
  <w:p w14:paraId="2137F6A4" w14:textId="77777777" w:rsidR="002D3FFE" w:rsidRDefault="002D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A277" w14:textId="77777777" w:rsidR="00815843" w:rsidRDefault="00815843" w:rsidP="002D3FFE">
      <w:r>
        <w:separator/>
      </w:r>
    </w:p>
  </w:footnote>
  <w:footnote w:type="continuationSeparator" w:id="0">
    <w:p w14:paraId="2906B824" w14:textId="77777777" w:rsidR="00815843" w:rsidRDefault="00815843" w:rsidP="002D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C2B7" w14:textId="27CAC0A5" w:rsidR="002D3FFE" w:rsidRPr="0075392F" w:rsidRDefault="002D3FFE" w:rsidP="001116EA">
    <w:pPr>
      <w:pStyle w:val="Header"/>
    </w:pPr>
    <w:r>
      <w:t>Cambridge &amp; Counties Bank Limited</w:t>
    </w:r>
    <w:r>
      <w:tab/>
    </w:r>
    <w:r>
      <w:tab/>
      <w:t>Pillar 3 Disclosures 202</w:t>
    </w:r>
    <w:r w:rsidR="009B684A">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A228" w14:textId="1D5614B6" w:rsidR="00B62FEB" w:rsidRDefault="00924792" w:rsidP="001116EA">
    <w:pPr>
      <w:pStyle w:val="Header"/>
    </w:pPr>
    <w:r>
      <w:t>Cambridge &amp; Counties Bank Limited</w:t>
    </w:r>
    <w:r>
      <w:tab/>
    </w:r>
    <w:r>
      <w:tab/>
      <w:t>Pillar 3 Disclosures 202</w:t>
    </w:r>
    <w:r w:rsidR="009B684A">
      <w:t>3</w:t>
    </w:r>
  </w:p>
  <w:p w14:paraId="7580DCED" w14:textId="77777777" w:rsidR="00B62FEB" w:rsidRPr="0075392F" w:rsidRDefault="00B62FEB" w:rsidP="00683C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57A153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632796"/>
    <w:multiLevelType w:val="hybridMultilevel"/>
    <w:tmpl w:val="8CFE63C8"/>
    <w:lvl w:ilvl="0" w:tplc="5C0A8064">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7057C1F"/>
    <w:multiLevelType w:val="hybridMultilevel"/>
    <w:tmpl w:val="C6346FA0"/>
    <w:lvl w:ilvl="0" w:tplc="B1B4CD60">
      <w:start w:val="1"/>
      <w:numFmt w:val="lowerLett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6688"/>
    <w:multiLevelType w:val="hybridMultilevel"/>
    <w:tmpl w:val="611A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1B0B"/>
    <w:multiLevelType w:val="hybridMultilevel"/>
    <w:tmpl w:val="3F24911A"/>
    <w:lvl w:ilvl="0" w:tplc="7462647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B4109"/>
    <w:multiLevelType w:val="hybridMultilevel"/>
    <w:tmpl w:val="8F44911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E741F5"/>
    <w:multiLevelType w:val="hybridMultilevel"/>
    <w:tmpl w:val="A78078F8"/>
    <w:lvl w:ilvl="0" w:tplc="B44EC684">
      <w:start w:val="1"/>
      <w:numFmt w:val="lowerRoman"/>
      <w:pStyle w:val="List1"/>
      <w:lvlText w:val="(%1)"/>
      <w:lvlJc w:val="left"/>
      <w:pPr>
        <w:ind w:left="1260" w:hanging="360"/>
      </w:pPr>
      <w:rPr>
        <w:rFonts w:hint="default"/>
      </w:rPr>
    </w:lvl>
    <w:lvl w:ilvl="1" w:tplc="08090017">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15:restartNumberingAfterBreak="0">
    <w:nsid w:val="164753A1"/>
    <w:multiLevelType w:val="multilevel"/>
    <w:tmpl w:val="E63AC910"/>
    <w:styleLink w:val="Style2"/>
    <w:lvl w:ilvl="0">
      <w:start w:val="4"/>
      <w:numFmt w:val="decimal"/>
      <w:lvlText w:val="%1"/>
      <w:lvlJc w:val="left"/>
      <w:pPr>
        <w:ind w:left="495" w:hanging="495"/>
      </w:pPr>
      <w:rPr>
        <w:rFonts w:asciiTheme="majorHAnsi" w:hAnsiTheme="majorHAnsi"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19FC1C6B"/>
    <w:multiLevelType w:val="hybridMultilevel"/>
    <w:tmpl w:val="45461E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024EE8"/>
    <w:multiLevelType w:val="hybridMultilevel"/>
    <w:tmpl w:val="1B20008C"/>
    <w:lvl w:ilvl="0" w:tplc="7BA4E16E">
      <w:start w:val="1"/>
      <w:numFmt w:val="lowerRoman"/>
      <w:lvlText w:val="%1."/>
      <w:lvlJc w:val="right"/>
      <w:pPr>
        <w:ind w:left="1440" w:hanging="360"/>
      </w:pPr>
      <w:rPr>
        <w:b w:val="0"/>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09C327A"/>
    <w:multiLevelType w:val="hybridMultilevel"/>
    <w:tmpl w:val="1C4600EC"/>
    <w:lvl w:ilvl="0" w:tplc="818C6D8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227CA"/>
    <w:multiLevelType w:val="hybridMultilevel"/>
    <w:tmpl w:val="4A74A894"/>
    <w:lvl w:ilvl="0" w:tplc="818C6D8C">
      <w:start w:val="1"/>
      <w:numFmt w:val="bullet"/>
      <w:lvlText w:val="•"/>
      <w:lvlJc w:val="left"/>
      <w:pPr>
        <w:ind w:left="60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12" w15:restartNumberingAfterBreak="0">
    <w:nsid w:val="26664A19"/>
    <w:multiLevelType w:val="hybridMultilevel"/>
    <w:tmpl w:val="E2E4C9A2"/>
    <w:lvl w:ilvl="0" w:tplc="74626472">
      <w:start w:val="1"/>
      <w:numFmt w:val="bullet"/>
      <w:lvlText w:val="-"/>
      <w:lvlJc w:val="left"/>
      <w:pPr>
        <w:ind w:left="761" w:hanging="360"/>
      </w:pPr>
      <w:rPr>
        <w:rFonts w:ascii="Courier New" w:hAnsi="Courier New"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3" w15:restartNumberingAfterBreak="0">
    <w:nsid w:val="2E7C0E5C"/>
    <w:multiLevelType w:val="hybridMultilevel"/>
    <w:tmpl w:val="0AB4D8D8"/>
    <w:lvl w:ilvl="0" w:tplc="818C6D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C6A36"/>
    <w:multiLevelType w:val="hybridMultilevel"/>
    <w:tmpl w:val="6E009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E3FA2"/>
    <w:multiLevelType w:val="multilevel"/>
    <w:tmpl w:val="B3069DA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3049AB"/>
    <w:multiLevelType w:val="hybridMultilevel"/>
    <w:tmpl w:val="B498B438"/>
    <w:lvl w:ilvl="0" w:tplc="CC6AB5BE">
      <w:start w:val="1"/>
      <w:numFmt w:val="lowerRoman"/>
      <w:pStyle w:val="ListParagraphNumbers"/>
      <w:lvlText w:val="(%1)"/>
      <w:lvlJc w:val="left"/>
      <w:pPr>
        <w:ind w:left="1267" w:hanging="360"/>
      </w:pPr>
      <w:rPr>
        <w:rFonts w:ascii="Calibri" w:hAnsi="Calibri" w:hint="default"/>
        <w:b w:val="0"/>
        <w:i w:val="0"/>
        <w:sz w:val="22"/>
      </w:rPr>
    </w:lvl>
    <w:lvl w:ilvl="1" w:tplc="372C19AC">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7" w15:restartNumberingAfterBreak="0">
    <w:nsid w:val="348474F9"/>
    <w:multiLevelType w:val="hybridMultilevel"/>
    <w:tmpl w:val="85360CD8"/>
    <w:lvl w:ilvl="0" w:tplc="D1CC0DE0">
      <w:start w:val="9"/>
      <w:numFmt w:val="bullet"/>
      <w:lvlText w:val="-"/>
      <w:lvlJc w:val="left"/>
      <w:pPr>
        <w:ind w:left="360" w:hanging="360"/>
      </w:pPr>
      <w:rPr>
        <w:rFonts w:ascii="Museo Sans 100" w:eastAsia="Times New Roman" w:hAnsi="Museo Sans 100" w:cs="Arial" w:hint="default"/>
        <w:color w:val="000000" w:themeColor="dark1"/>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156053"/>
    <w:multiLevelType w:val="hybridMultilevel"/>
    <w:tmpl w:val="BBD68F2E"/>
    <w:lvl w:ilvl="0" w:tplc="7462647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E201F"/>
    <w:multiLevelType w:val="hybridMultilevel"/>
    <w:tmpl w:val="56CEB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F5FBE"/>
    <w:multiLevelType w:val="hybridMultilevel"/>
    <w:tmpl w:val="9DEE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866F5"/>
    <w:multiLevelType w:val="multilevel"/>
    <w:tmpl w:val="8B2811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281E7C"/>
    <w:multiLevelType w:val="multilevel"/>
    <w:tmpl w:val="8B2811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5A27EC"/>
    <w:multiLevelType w:val="hybridMultilevel"/>
    <w:tmpl w:val="95266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706F31"/>
    <w:multiLevelType w:val="multilevel"/>
    <w:tmpl w:val="A2D084B2"/>
    <w:styleLink w:val="Style1"/>
    <w:lvl w:ilvl="0">
      <w:start w:val="10"/>
      <w:numFmt w:val="decimal"/>
      <w:lvlText w:val="%1."/>
      <w:lvlJc w:val="left"/>
      <w:pPr>
        <w:ind w:left="284" w:hanging="284"/>
      </w:pPr>
      <w:rPr>
        <w:rFonts w:hint="default"/>
      </w:rPr>
    </w:lvl>
    <w:lvl w:ilvl="1">
      <w:start w:val="1"/>
      <w:numFmt w:val="decimal"/>
      <w:lvlText w:val="%1.%2."/>
      <w:lvlJc w:val="left"/>
      <w:pPr>
        <w:ind w:left="2411" w:hanging="284"/>
      </w:pPr>
      <w:rPr>
        <w:rFonts w:hint="default"/>
        <w:sz w:val="22"/>
        <w:szCs w:val="22"/>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5" w15:restartNumberingAfterBreak="0">
    <w:nsid w:val="51655558"/>
    <w:multiLevelType w:val="hybridMultilevel"/>
    <w:tmpl w:val="D7CA1F5A"/>
    <w:lvl w:ilvl="0" w:tplc="7462647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613CF"/>
    <w:multiLevelType w:val="multilevel"/>
    <w:tmpl w:val="700AB1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7E547CE"/>
    <w:multiLevelType w:val="multilevel"/>
    <w:tmpl w:val="A2D084B2"/>
    <w:lvl w:ilvl="0">
      <w:start w:val="1"/>
      <w:numFmt w:val="decimal"/>
      <w:lvlText w:val="%1."/>
      <w:lvlJc w:val="left"/>
      <w:pPr>
        <w:ind w:left="284" w:hanging="284"/>
      </w:pPr>
      <w:rPr>
        <w:rFonts w:hint="default"/>
      </w:rPr>
    </w:lvl>
    <w:lvl w:ilvl="1">
      <w:start w:val="1"/>
      <w:numFmt w:val="decimal"/>
      <w:lvlText w:val="%1.%2."/>
      <w:lvlJc w:val="left"/>
      <w:pPr>
        <w:ind w:left="852" w:hanging="284"/>
      </w:pPr>
      <w:rPr>
        <w:rFonts w:hint="default"/>
        <w:sz w:val="22"/>
        <w:szCs w:val="22"/>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8" w15:restartNumberingAfterBreak="0">
    <w:nsid w:val="5AAE02B2"/>
    <w:multiLevelType w:val="hybridMultilevel"/>
    <w:tmpl w:val="EC9CC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D73D6"/>
    <w:multiLevelType w:val="hybridMultilevel"/>
    <w:tmpl w:val="4A4CC44A"/>
    <w:lvl w:ilvl="0" w:tplc="818C6D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B3E5A"/>
    <w:multiLevelType w:val="hybridMultilevel"/>
    <w:tmpl w:val="9162EF40"/>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1" w15:restartNumberingAfterBreak="0">
    <w:nsid w:val="5FD839ED"/>
    <w:multiLevelType w:val="hybridMultilevel"/>
    <w:tmpl w:val="AC1EA2D2"/>
    <w:lvl w:ilvl="0" w:tplc="7462647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76F61"/>
    <w:multiLevelType w:val="hybridMultilevel"/>
    <w:tmpl w:val="448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C10B5"/>
    <w:multiLevelType w:val="multilevel"/>
    <w:tmpl w:val="8B2811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FF162C"/>
    <w:multiLevelType w:val="hybridMultilevel"/>
    <w:tmpl w:val="B6E4BA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EA3CE1"/>
    <w:multiLevelType w:val="hybridMultilevel"/>
    <w:tmpl w:val="9210D330"/>
    <w:lvl w:ilvl="0" w:tplc="A5DEC84E">
      <w:start w:val="1"/>
      <w:numFmt w:val="lowerRoman"/>
      <w:lvlText w:val="(%1)"/>
      <w:lvlJc w:val="left"/>
      <w:pPr>
        <w:ind w:left="1267" w:hanging="360"/>
      </w:pPr>
      <w:rPr>
        <w:rFonts w:hint="default"/>
      </w:rPr>
    </w:lvl>
    <w:lvl w:ilvl="1" w:tplc="F7DE8062">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6" w15:restartNumberingAfterBreak="0">
    <w:nsid w:val="65372A87"/>
    <w:multiLevelType w:val="hybridMultilevel"/>
    <w:tmpl w:val="490E0F3C"/>
    <w:lvl w:ilvl="0" w:tplc="5A922F3E">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76777F"/>
    <w:multiLevelType w:val="hybridMultilevel"/>
    <w:tmpl w:val="0CA2E102"/>
    <w:lvl w:ilvl="0" w:tplc="818C6D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96BF9"/>
    <w:multiLevelType w:val="hybridMultilevel"/>
    <w:tmpl w:val="1EB0B2E6"/>
    <w:lvl w:ilvl="0" w:tplc="818C6D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6059E"/>
    <w:multiLevelType w:val="hybridMultilevel"/>
    <w:tmpl w:val="211221FE"/>
    <w:lvl w:ilvl="0" w:tplc="74626472">
      <w:start w:val="1"/>
      <w:numFmt w:val="bullet"/>
      <w:lvlText w:val="-"/>
      <w:lvlJc w:val="left"/>
      <w:pPr>
        <w:ind w:left="761" w:hanging="360"/>
      </w:pPr>
      <w:rPr>
        <w:rFonts w:ascii="Courier New" w:hAnsi="Courier New"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0" w15:restartNumberingAfterBreak="0">
    <w:nsid w:val="7B694532"/>
    <w:multiLevelType w:val="hybridMultilevel"/>
    <w:tmpl w:val="90243B2C"/>
    <w:lvl w:ilvl="0" w:tplc="872C2DE4">
      <w:start w:val="171"/>
      <w:numFmt w:val="bullet"/>
      <w:lvlText w:val="-"/>
      <w:lvlJc w:val="left"/>
      <w:pPr>
        <w:ind w:left="1080" w:hanging="360"/>
      </w:pPr>
      <w:rPr>
        <w:rFonts w:ascii="Museo Sans 300" w:eastAsia="Times New Roman" w:hAnsi="Museo Sans 300"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7D5E83"/>
    <w:multiLevelType w:val="hybridMultilevel"/>
    <w:tmpl w:val="26E8F3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C25C2"/>
    <w:multiLevelType w:val="multilevel"/>
    <w:tmpl w:val="8B2811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187752">
    <w:abstractNumId w:val="8"/>
  </w:num>
  <w:num w:numId="2" w16cid:durableId="1897886699">
    <w:abstractNumId w:val="27"/>
  </w:num>
  <w:num w:numId="3" w16cid:durableId="308631414">
    <w:abstractNumId w:val="32"/>
  </w:num>
  <w:num w:numId="4" w16cid:durableId="353574942">
    <w:abstractNumId w:val="40"/>
  </w:num>
  <w:num w:numId="5" w16cid:durableId="1561209041">
    <w:abstractNumId w:val="6"/>
  </w:num>
  <w:num w:numId="6" w16cid:durableId="299463330">
    <w:abstractNumId w:val="16"/>
  </w:num>
  <w:num w:numId="7" w16cid:durableId="64228668">
    <w:abstractNumId w:val="10"/>
  </w:num>
  <w:num w:numId="8" w16cid:durableId="1801802746">
    <w:abstractNumId w:val="11"/>
  </w:num>
  <w:num w:numId="9" w16cid:durableId="1432511856">
    <w:abstractNumId w:val="37"/>
  </w:num>
  <w:num w:numId="10" w16cid:durableId="1135098627">
    <w:abstractNumId w:val="38"/>
  </w:num>
  <w:num w:numId="11" w16cid:durableId="869996160">
    <w:abstractNumId w:val="13"/>
  </w:num>
  <w:num w:numId="12" w16cid:durableId="1700232758">
    <w:abstractNumId w:val="29"/>
  </w:num>
  <w:num w:numId="13" w16cid:durableId="1066150260">
    <w:abstractNumId w:val="18"/>
  </w:num>
  <w:num w:numId="14" w16cid:durableId="343753137">
    <w:abstractNumId w:val="1"/>
  </w:num>
  <w:num w:numId="15" w16cid:durableId="2099597260">
    <w:abstractNumId w:val="35"/>
    <w:lvlOverride w:ilvl="0">
      <w:startOverride w:val="1"/>
    </w:lvlOverride>
    <w:lvlOverride w:ilvl="1"/>
    <w:lvlOverride w:ilvl="2"/>
    <w:lvlOverride w:ilvl="3"/>
    <w:lvlOverride w:ilvl="4"/>
    <w:lvlOverride w:ilvl="5"/>
    <w:lvlOverride w:ilvl="6"/>
    <w:lvlOverride w:ilvl="7"/>
    <w:lvlOverride w:ilvl="8"/>
  </w:num>
  <w:num w:numId="16" w16cid:durableId="513499254">
    <w:abstractNumId w:val="30"/>
  </w:num>
  <w:num w:numId="17" w16cid:durableId="1342858484">
    <w:abstractNumId w:val="24"/>
  </w:num>
  <w:num w:numId="18" w16cid:durableId="801115358">
    <w:abstractNumId w:val="7"/>
  </w:num>
  <w:num w:numId="19" w16cid:durableId="1677032665">
    <w:abstractNumId w:val="36"/>
  </w:num>
  <w:num w:numId="20" w16cid:durableId="1089813673">
    <w:abstractNumId w:val="25"/>
  </w:num>
  <w:num w:numId="21" w16cid:durableId="1695885041">
    <w:abstractNumId w:val="12"/>
  </w:num>
  <w:num w:numId="22" w16cid:durableId="900821652">
    <w:abstractNumId w:val="4"/>
  </w:num>
  <w:num w:numId="23" w16cid:durableId="1502037603">
    <w:abstractNumId w:val="31"/>
  </w:num>
  <w:num w:numId="24" w16cid:durableId="425809007">
    <w:abstractNumId w:val="39"/>
  </w:num>
  <w:num w:numId="25" w16cid:durableId="1424259893">
    <w:abstractNumId w:val="26"/>
  </w:num>
  <w:num w:numId="26" w16cid:durableId="2081558887">
    <w:abstractNumId w:val="34"/>
  </w:num>
  <w:num w:numId="27" w16cid:durableId="601453719">
    <w:abstractNumId w:val="20"/>
  </w:num>
  <w:num w:numId="28" w16cid:durableId="447896621">
    <w:abstractNumId w:val="33"/>
  </w:num>
  <w:num w:numId="29" w16cid:durableId="1861317178">
    <w:abstractNumId w:val="21"/>
  </w:num>
  <w:num w:numId="30" w16cid:durableId="1541936130">
    <w:abstractNumId w:val="22"/>
  </w:num>
  <w:num w:numId="31" w16cid:durableId="969557419">
    <w:abstractNumId w:val="42"/>
  </w:num>
  <w:num w:numId="32" w16cid:durableId="45883576">
    <w:abstractNumId w:val="15"/>
  </w:num>
  <w:num w:numId="33" w16cid:durableId="1547376640">
    <w:abstractNumId w:val="2"/>
  </w:num>
  <w:num w:numId="34" w16cid:durableId="1610351164">
    <w:abstractNumId w:val="9"/>
  </w:num>
  <w:num w:numId="35" w16cid:durableId="1952321594">
    <w:abstractNumId w:val="5"/>
  </w:num>
  <w:num w:numId="36" w16cid:durableId="755790418">
    <w:abstractNumId w:val="23"/>
  </w:num>
  <w:num w:numId="37" w16cid:durableId="695083839">
    <w:abstractNumId w:val="28"/>
  </w:num>
  <w:num w:numId="38" w16cid:durableId="939993259">
    <w:abstractNumId w:val="17"/>
  </w:num>
  <w:num w:numId="39" w16cid:durableId="549220881">
    <w:abstractNumId w:val="19"/>
  </w:num>
  <w:num w:numId="40" w16cid:durableId="1583174184">
    <w:abstractNumId w:val="41"/>
  </w:num>
  <w:num w:numId="41" w16cid:durableId="1930111780">
    <w:abstractNumId w:val="26"/>
  </w:num>
  <w:num w:numId="42" w16cid:durableId="1944726152">
    <w:abstractNumId w:val="26"/>
  </w:num>
  <w:num w:numId="43" w16cid:durableId="280848111">
    <w:abstractNumId w:val="14"/>
  </w:num>
  <w:num w:numId="44" w16cid:durableId="774136353">
    <w:abstractNumId w:val="0"/>
  </w:num>
  <w:num w:numId="45" w16cid:durableId="1168398982">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FE"/>
    <w:rsid w:val="000013B5"/>
    <w:rsid w:val="00003E55"/>
    <w:rsid w:val="00005E87"/>
    <w:rsid w:val="00006F7C"/>
    <w:rsid w:val="00007172"/>
    <w:rsid w:val="00010393"/>
    <w:rsid w:val="000233A3"/>
    <w:rsid w:val="00024F76"/>
    <w:rsid w:val="0003264D"/>
    <w:rsid w:val="00042B6B"/>
    <w:rsid w:val="00043AC0"/>
    <w:rsid w:val="00051377"/>
    <w:rsid w:val="00052568"/>
    <w:rsid w:val="00055F98"/>
    <w:rsid w:val="0006275C"/>
    <w:rsid w:val="00067F9B"/>
    <w:rsid w:val="00071C19"/>
    <w:rsid w:val="00073BD4"/>
    <w:rsid w:val="00073FAF"/>
    <w:rsid w:val="00073FD1"/>
    <w:rsid w:val="0007568B"/>
    <w:rsid w:val="00082C74"/>
    <w:rsid w:val="00082CF8"/>
    <w:rsid w:val="00086C3C"/>
    <w:rsid w:val="00090081"/>
    <w:rsid w:val="00092C3C"/>
    <w:rsid w:val="00096931"/>
    <w:rsid w:val="000A17B7"/>
    <w:rsid w:val="000A2E46"/>
    <w:rsid w:val="000A3271"/>
    <w:rsid w:val="000A44DD"/>
    <w:rsid w:val="000A5A00"/>
    <w:rsid w:val="000A630F"/>
    <w:rsid w:val="000A6FD6"/>
    <w:rsid w:val="000A7B95"/>
    <w:rsid w:val="000B59FD"/>
    <w:rsid w:val="000C0C4A"/>
    <w:rsid w:val="000C7EB2"/>
    <w:rsid w:val="000D35C6"/>
    <w:rsid w:val="000D796C"/>
    <w:rsid w:val="000D7FCA"/>
    <w:rsid w:val="000E190A"/>
    <w:rsid w:val="000E6F06"/>
    <w:rsid w:val="00100D82"/>
    <w:rsid w:val="00101188"/>
    <w:rsid w:val="00101E77"/>
    <w:rsid w:val="001051EE"/>
    <w:rsid w:val="00110918"/>
    <w:rsid w:val="00115016"/>
    <w:rsid w:val="00115211"/>
    <w:rsid w:val="00116A10"/>
    <w:rsid w:val="0012011E"/>
    <w:rsid w:val="00123527"/>
    <w:rsid w:val="00126455"/>
    <w:rsid w:val="0013343B"/>
    <w:rsid w:val="00134A4C"/>
    <w:rsid w:val="00140410"/>
    <w:rsid w:val="00142F30"/>
    <w:rsid w:val="00146F7A"/>
    <w:rsid w:val="00151193"/>
    <w:rsid w:val="001544A8"/>
    <w:rsid w:val="0016077F"/>
    <w:rsid w:val="001636FC"/>
    <w:rsid w:val="0016410F"/>
    <w:rsid w:val="00164D7F"/>
    <w:rsid w:val="00167CBF"/>
    <w:rsid w:val="001746FE"/>
    <w:rsid w:val="00175463"/>
    <w:rsid w:val="00177326"/>
    <w:rsid w:val="00185DA4"/>
    <w:rsid w:val="0019008B"/>
    <w:rsid w:val="00192E83"/>
    <w:rsid w:val="00193B86"/>
    <w:rsid w:val="00197E69"/>
    <w:rsid w:val="001A0444"/>
    <w:rsid w:val="001B2DEC"/>
    <w:rsid w:val="001C2521"/>
    <w:rsid w:val="001C5906"/>
    <w:rsid w:val="001D0A80"/>
    <w:rsid w:val="001D171B"/>
    <w:rsid w:val="001D18BD"/>
    <w:rsid w:val="001D1DD8"/>
    <w:rsid w:val="001D263D"/>
    <w:rsid w:val="001D26B8"/>
    <w:rsid w:val="001E2E6E"/>
    <w:rsid w:val="001E3EC0"/>
    <w:rsid w:val="001E4E1F"/>
    <w:rsid w:val="001F6112"/>
    <w:rsid w:val="002038A8"/>
    <w:rsid w:val="002046EE"/>
    <w:rsid w:val="00205E52"/>
    <w:rsid w:val="002070D1"/>
    <w:rsid w:val="00210346"/>
    <w:rsid w:val="00214F9D"/>
    <w:rsid w:val="00217A42"/>
    <w:rsid w:val="00220A30"/>
    <w:rsid w:val="0022210D"/>
    <w:rsid w:val="00222D9A"/>
    <w:rsid w:val="00223CE2"/>
    <w:rsid w:val="00224B57"/>
    <w:rsid w:val="002301B7"/>
    <w:rsid w:val="0023628B"/>
    <w:rsid w:val="00236773"/>
    <w:rsid w:val="0024132B"/>
    <w:rsid w:val="00241B03"/>
    <w:rsid w:val="002427E1"/>
    <w:rsid w:val="002431E9"/>
    <w:rsid w:val="002459AE"/>
    <w:rsid w:val="00253381"/>
    <w:rsid w:val="00253888"/>
    <w:rsid w:val="00257A14"/>
    <w:rsid w:val="00260627"/>
    <w:rsid w:val="00264A8C"/>
    <w:rsid w:val="00265224"/>
    <w:rsid w:val="00273C72"/>
    <w:rsid w:val="002769E0"/>
    <w:rsid w:val="00276C5C"/>
    <w:rsid w:val="00293E05"/>
    <w:rsid w:val="00295264"/>
    <w:rsid w:val="002B0941"/>
    <w:rsid w:val="002B1B60"/>
    <w:rsid w:val="002B4ADC"/>
    <w:rsid w:val="002B4CC3"/>
    <w:rsid w:val="002B64C1"/>
    <w:rsid w:val="002C012E"/>
    <w:rsid w:val="002C7E97"/>
    <w:rsid w:val="002D0504"/>
    <w:rsid w:val="002D3F0A"/>
    <w:rsid w:val="002D3FFE"/>
    <w:rsid w:val="002D7AF2"/>
    <w:rsid w:val="002E5B3A"/>
    <w:rsid w:val="002E6755"/>
    <w:rsid w:val="002F3354"/>
    <w:rsid w:val="002F3BE4"/>
    <w:rsid w:val="002F4231"/>
    <w:rsid w:val="002F44E0"/>
    <w:rsid w:val="002F7463"/>
    <w:rsid w:val="002F7785"/>
    <w:rsid w:val="0030723C"/>
    <w:rsid w:val="00307A43"/>
    <w:rsid w:val="003115EA"/>
    <w:rsid w:val="00312B58"/>
    <w:rsid w:val="00312FA1"/>
    <w:rsid w:val="00316BD6"/>
    <w:rsid w:val="00320E05"/>
    <w:rsid w:val="00320E4B"/>
    <w:rsid w:val="003222E0"/>
    <w:rsid w:val="00330E5B"/>
    <w:rsid w:val="00335A78"/>
    <w:rsid w:val="003406D7"/>
    <w:rsid w:val="0034330E"/>
    <w:rsid w:val="00343D38"/>
    <w:rsid w:val="00347C2D"/>
    <w:rsid w:val="00347E73"/>
    <w:rsid w:val="00353B0B"/>
    <w:rsid w:val="00355A9D"/>
    <w:rsid w:val="0035773F"/>
    <w:rsid w:val="00364660"/>
    <w:rsid w:val="003660F7"/>
    <w:rsid w:val="00366E97"/>
    <w:rsid w:val="00372329"/>
    <w:rsid w:val="00374BB3"/>
    <w:rsid w:val="00377FBD"/>
    <w:rsid w:val="00383D42"/>
    <w:rsid w:val="003853A5"/>
    <w:rsid w:val="00385CF5"/>
    <w:rsid w:val="00392DA3"/>
    <w:rsid w:val="00392E58"/>
    <w:rsid w:val="003965A9"/>
    <w:rsid w:val="0039747A"/>
    <w:rsid w:val="003A28E9"/>
    <w:rsid w:val="003A76B3"/>
    <w:rsid w:val="003B0409"/>
    <w:rsid w:val="003B332A"/>
    <w:rsid w:val="003B7492"/>
    <w:rsid w:val="003C444F"/>
    <w:rsid w:val="003C4FF6"/>
    <w:rsid w:val="003D2460"/>
    <w:rsid w:val="003E0D5C"/>
    <w:rsid w:val="003E2708"/>
    <w:rsid w:val="003E79E6"/>
    <w:rsid w:val="003F0A73"/>
    <w:rsid w:val="003F4AAB"/>
    <w:rsid w:val="003F6A54"/>
    <w:rsid w:val="003F739E"/>
    <w:rsid w:val="004014B5"/>
    <w:rsid w:val="00403912"/>
    <w:rsid w:val="00403F0F"/>
    <w:rsid w:val="00414D53"/>
    <w:rsid w:val="00417107"/>
    <w:rsid w:val="004264C3"/>
    <w:rsid w:val="00430D3E"/>
    <w:rsid w:val="004325CB"/>
    <w:rsid w:val="00432F0F"/>
    <w:rsid w:val="00436492"/>
    <w:rsid w:val="004518FE"/>
    <w:rsid w:val="00452FEA"/>
    <w:rsid w:val="004541B5"/>
    <w:rsid w:val="00454568"/>
    <w:rsid w:val="004573CB"/>
    <w:rsid w:val="00460939"/>
    <w:rsid w:val="00461692"/>
    <w:rsid w:val="00463BC7"/>
    <w:rsid w:val="00471B1D"/>
    <w:rsid w:val="0048487D"/>
    <w:rsid w:val="00484A13"/>
    <w:rsid w:val="004858A0"/>
    <w:rsid w:val="00486078"/>
    <w:rsid w:val="004949AE"/>
    <w:rsid w:val="004A1750"/>
    <w:rsid w:val="004C19C9"/>
    <w:rsid w:val="004C309A"/>
    <w:rsid w:val="004C6735"/>
    <w:rsid w:val="004D04C1"/>
    <w:rsid w:val="004D0F30"/>
    <w:rsid w:val="004D2397"/>
    <w:rsid w:val="004D3320"/>
    <w:rsid w:val="004D7715"/>
    <w:rsid w:val="004E2565"/>
    <w:rsid w:val="004E2923"/>
    <w:rsid w:val="004E321B"/>
    <w:rsid w:val="004E3F40"/>
    <w:rsid w:val="004E5D16"/>
    <w:rsid w:val="004F2E74"/>
    <w:rsid w:val="004F3F1F"/>
    <w:rsid w:val="004F719F"/>
    <w:rsid w:val="004F7F63"/>
    <w:rsid w:val="00502C98"/>
    <w:rsid w:val="00502E67"/>
    <w:rsid w:val="00504D0C"/>
    <w:rsid w:val="00505140"/>
    <w:rsid w:val="0051205B"/>
    <w:rsid w:val="00514DC6"/>
    <w:rsid w:val="00521E57"/>
    <w:rsid w:val="005220F2"/>
    <w:rsid w:val="00526468"/>
    <w:rsid w:val="00531418"/>
    <w:rsid w:val="00534C66"/>
    <w:rsid w:val="00540F89"/>
    <w:rsid w:val="00543F82"/>
    <w:rsid w:val="00544035"/>
    <w:rsid w:val="005519AD"/>
    <w:rsid w:val="005519D7"/>
    <w:rsid w:val="00561A7B"/>
    <w:rsid w:val="00564F3C"/>
    <w:rsid w:val="005667CE"/>
    <w:rsid w:val="00573E6C"/>
    <w:rsid w:val="00577D08"/>
    <w:rsid w:val="00580F85"/>
    <w:rsid w:val="005810DD"/>
    <w:rsid w:val="0058278D"/>
    <w:rsid w:val="005829E5"/>
    <w:rsid w:val="0059032A"/>
    <w:rsid w:val="00594D25"/>
    <w:rsid w:val="005A2030"/>
    <w:rsid w:val="005A3158"/>
    <w:rsid w:val="005A3162"/>
    <w:rsid w:val="005C20D3"/>
    <w:rsid w:val="005C20EF"/>
    <w:rsid w:val="005C605D"/>
    <w:rsid w:val="005C73D3"/>
    <w:rsid w:val="005D0405"/>
    <w:rsid w:val="005D25DF"/>
    <w:rsid w:val="005D4EAD"/>
    <w:rsid w:val="005E0663"/>
    <w:rsid w:val="005E58E7"/>
    <w:rsid w:val="005F6E0C"/>
    <w:rsid w:val="0060474D"/>
    <w:rsid w:val="00605D8E"/>
    <w:rsid w:val="00606F8A"/>
    <w:rsid w:val="00612863"/>
    <w:rsid w:val="0061387A"/>
    <w:rsid w:val="006160A1"/>
    <w:rsid w:val="00622322"/>
    <w:rsid w:val="00627966"/>
    <w:rsid w:val="0063072F"/>
    <w:rsid w:val="00630C8C"/>
    <w:rsid w:val="00632117"/>
    <w:rsid w:val="00636928"/>
    <w:rsid w:val="006373E7"/>
    <w:rsid w:val="006406F4"/>
    <w:rsid w:val="006411E3"/>
    <w:rsid w:val="00650172"/>
    <w:rsid w:val="0065190C"/>
    <w:rsid w:val="00656021"/>
    <w:rsid w:val="00656D53"/>
    <w:rsid w:val="00667D4E"/>
    <w:rsid w:val="00672DAF"/>
    <w:rsid w:val="00674F63"/>
    <w:rsid w:val="00677BA8"/>
    <w:rsid w:val="00681C89"/>
    <w:rsid w:val="00682AB2"/>
    <w:rsid w:val="00683AF2"/>
    <w:rsid w:val="00695BD3"/>
    <w:rsid w:val="006A03AA"/>
    <w:rsid w:val="006A2FAF"/>
    <w:rsid w:val="006A62FF"/>
    <w:rsid w:val="006B1808"/>
    <w:rsid w:val="006B254D"/>
    <w:rsid w:val="006B353C"/>
    <w:rsid w:val="006B380C"/>
    <w:rsid w:val="006B4E30"/>
    <w:rsid w:val="006B4F38"/>
    <w:rsid w:val="006B592C"/>
    <w:rsid w:val="006B665A"/>
    <w:rsid w:val="006B72AF"/>
    <w:rsid w:val="006C076D"/>
    <w:rsid w:val="006C2855"/>
    <w:rsid w:val="006C4807"/>
    <w:rsid w:val="006C75A4"/>
    <w:rsid w:val="006D09FB"/>
    <w:rsid w:val="006D2363"/>
    <w:rsid w:val="006D72D0"/>
    <w:rsid w:val="006E25B5"/>
    <w:rsid w:val="006F3A17"/>
    <w:rsid w:val="00705DB6"/>
    <w:rsid w:val="007075A4"/>
    <w:rsid w:val="00710FED"/>
    <w:rsid w:val="00712184"/>
    <w:rsid w:val="0071512F"/>
    <w:rsid w:val="007161AA"/>
    <w:rsid w:val="00726FC5"/>
    <w:rsid w:val="00734134"/>
    <w:rsid w:val="00741C8C"/>
    <w:rsid w:val="00743DDA"/>
    <w:rsid w:val="00744495"/>
    <w:rsid w:val="007449F1"/>
    <w:rsid w:val="00745635"/>
    <w:rsid w:val="007531E7"/>
    <w:rsid w:val="00756347"/>
    <w:rsid w:val="00757D9A"/>
    <w:rsid w:val="0076164E"/>
    <w:rsid w:val="00764A80"/>
    <w:rsid w:val="00765405"/>
    <w:rsid w:val="00771ECA"/>
    <w:rsid w:val="00774244"/>
    <w:rsid w:val="007751C7"/>
    <w:rsid w:val="007752CD"/>
    <w:rsid w:val="00780E6F"/>
    <w:rsid w:val="00781789"/>
    <w:rsid w:val="00783E46"/>
    <w:rsid w:val="00784348"/>
    <w:rsid w:val="007847A2"/>
    <w:rsid w:val="007867DB"/>
    <w:rsid w:val="00793BC7"/>
    <w:rsid w:val="007A3C2B"/>
    <w:rsid w:val="007B05C2"/>
    <w:rsid w:val="007B421A"/>
    <w:rsid w:val="007B5979"/>
    <w:rsid w:val="007B62CF"/>
    <w:rsid w:val="007C09CA"/>
    <w:rsid w:val="007C1228"/>
    <w:rsid w:val="007C1783"/>
    <w:rsid w:val="007C3931"/>
    <w:rsid w:val="007C3967"/>
    <w:rsid w:val="007C47BA"/>
    <w:rsid w:val="007D2F6A"/>
    <w:rsid w:val="007D3FDF"/>
    <w:rsid w:val="007D5025"/>
    <w:rsid w:val="007E311B"/>
    <w:rsid w:val="007E6AE4"/>
    <w:rsid w:val="007F2229"/>
    <w:rsid w:val="007F4A5F"/>
    <w:rsid w:val="008007E5"/>
    <w:rsid w:val="00803151"/>
    <w:rsid w:val="0081304D"/>
    <w:rsid w:val="00814F95"/>
    <w:rsid w:val="008151AF"/>
    <w:rsid w:val="00815843"/>
    <w:rsid w:val="00817026"/>
    <w:rsid w:val="00817BC5"/>
    <w:rsid w:val="00822440"/>
    <w:rsid w:val="008267F8"/>
    <w:rsid w:val="00835F78"/>
    <w:rsid w:val="00840C6D"/>
    <w:rsid w:val="00844AF7"/>
    <w:rsid w:val="00850CC9"/>
    <w:rsid w:val="00852ACC"/>
    <w:rsid w:val="008556D3"/>
    <w:rsid w:val="00860C24"/>
    <w:rsid w:val="00863BDF"/>
    <w:rsid w:val="00865B2E"/>
    <w:rsid w:val="00867D5F"/>
    <w:rsid w:val="00870949"/>
    <w:rsid w:val="008713D6"/>
    <w:rsid w:val="00877E68"/>
    <w:rsid w:val="00883A8A"/>
    <w:rsid w:val="00884783"/>
    <w:rsid w:val="00885399"/>
    <w:rsid w:val="00891726"/>
    <w:rsid w:val="008921DB"/>
    <w:rsid w:val="008932EF"/>
    <w:rsid w:val="0089347B"/>
    <w:rsid w:val="008979AD"/>
    <w:rsid w:val="008A215C"/>
    <w:rsid w:val="008A2832"/>
    <w:rsid w:val="008A560A"/>
    <w:rsid w:val="008A5EE9"/>
    <w:rsid w:val="008A603D"/>
    <w:rsid w:val="008A735F"/>
    <w:rsid w:val="008B2A93"/>
    <w:rsid w:val="008B351F"/>
    <w:rsid w:val="008C18A8"/>
    <w:rsid w:val="008C1DCE"/>
    <w:rsid w:val="008C2F0B"/>
    <w:rsid w:val="008C7710"/>
    <w:rsid w:val="008D1142"/>
    <w:rsid w:val="008D329A"/>
    <w:rsid w:val="008D459E"/>
    <w:rsid w:val="008D4834"/>
    <w:rsid w:val="008D49F3"/>
    <w:rsid w:val="008E0CFF"/>
    <w:rsid w:val="008E4C10"/>
    <w:rsid w:val="008E50B3"/>
    <w:rsid w:val="008E65CB"/>
    <w:rsid w:val="009005B5"/>
    <w:rsid w:val="009070AD"/>
    <w:rsid w:val="009223DA"/>
    <w:rsid w:val="0092425F"/>
    <w:rsid w:val="00924792"/>
    <w:rsid w:val="00927D71"/>
    <w:rsid w:val="00932FD0"/>
    <w:rsid w:val="00940628"/>
    <w:rsid w:val="00940C34"/>
    <w:rsid w:val="009420FA"/>
    <w:rsid w:val="0094234F"/>
    <w:rsid w:val="0094749C"/>
    <w:rsid w:val="0094752A"/>
    <w:rsid w:val="0095026B"/>
    <w:rsid w:val="00952DA4"/>
    <w:rsid w:val="00967455"/>
    <w:rsid w:val="00970B3E"/>
    <w:rsid w:val="0097167A"/>
    <w:rsid w:val="009746FE"/>
    <w:rsid w:val="00975EF8"/>
    <w:rsid w:val="00980C63"/>
    <w:rsid w:val="00980CFE"/>
    <w:rsid w:val="00983553"/>
    <w:rsid w:val="00985E7F"/>
    <w:rsid w:val="009863CB"/>
    <w:rsid w:val="00991018"/>
    <w:rsid w:val="00994233"/>
    <w:rsid w:val="00997DC1"/>
    <w:rsid w:val="009A407B"/>
    <w:rsid w:val="009A6547"/>
    <w:rsid w:val="009B303C"/>
    <w:rsid w:val="009B684A"/>
    <w:rsid w:val="009B732A"/>
    <w:rsid w:val="009D0F04"/>
    <w:rsid w:val="009D1478"/>
    <w:rsid w:val="009E0FF2"/>
    <w:rsid w:val="009E280A"/>
    <w:rsid w:val="009E41FB"/>
    <w:rsid w:val="009F4951"/>
    <w:rsid w:val="009F6053"/>
    <w:rsid w:val="009F6A8B"/>
    <w:rsid w:val="00A05423"/>
    <w:rsid w:val="00A06501"/>
    <w:rsid w:val="00A07F55"/>
    <w:rsid w:val="00A1055A"/>
    <w:rsid w:val="00A1291C"/>
    <w:rsid w:val="00A133AE"/>
    <w:rsid w:val="00A157A0"/>
    <w:rsid w:val="00A1739A"/>
    <w:rsid w:val="00A2341D"/>
    <w:rsid w:val="00A23827"/>
    <w:rsid w:val="00A24A8D"/>
    <w:rsid w:val="00A253F2"/>
    <w:rsid w:val="00A31060"/>
    <w:rsid w:val="00A3423E"/>
    <w:rsid w:val="00A35B90"/>
    <w:rsid w:val="00A36887"/>
    <w:rsid w:val="00A54DDB"/>
    <w:rsid w:val="00A550C8"/>
    <w:rsid w:val="00A56B28"/>
    <w:rsid w:val="00A63027"/>
    <w:rsid w:val="00A64BAF"/>
    <w:rsid w:val="00A67FDC"/>
    <w:rsid w:val="00A749EA"/>
    <w:rsid w:val="00A74A3D"/>
    <w:rsid w:val="00A86531"/>
    <w:rsid w:val="00A87854"/>
    <w:rsid w:val="00A87EAA"/>
    <w:rsid w:val="00A94439"/>
    <w:rsid w:val="00A97C56"/>
    <w:rsid w:val="00AA1645"/>
    <w:rsid w:val="00AA4A35"/>
    <w:rsid w:val="00AA6AD9"/>
    <w:rsid w:val="00AB3904"/>
    <w:rsid w:val="00AB56E2"/>
    <w:rsid w:val="00AD2042"/>
    <w:rsid w:val="00AD2B5D"/>
    <w:rsid w:val="00AD4D44"/>
    <w:rsid w:val="00AE063F"/>
    <w:rsid w:val="00AE18D1"/>
    <w:rsid w:val="00AE5A27"/>
    <w:rsid w:val="00AE5D0C"/>
    <w:rsid w:val="00AE7B7F"/>
    <w:rsid w:val="00AE7E63"/>
    <w:rsid w:val="00AF185A"/>
    <w:rsid w:val="00AF4CA9"/>
    <w:rsid w:val="00AF5A8D"/>
    <w:rsid w:val="00AF668D"/>
    <w:rsid w:val="00B0117E"/>
    <w:rsid w:val="00B03126"/>
    <w:rsid w:val="00B039E5"/>
    <w:rsid w:val="00B138CF"/>
    <w:rsid w:val="00B27F3E"/>
    <w:rsid w:val="00B302F6"/>
    <w:rsid w:val="00B35633"/>
    <w:rsid w:val="00B44AF9"/>
    <w:rsid w:val="00B515E6"/>
    <w:rsid w:val="00B52CE1"/>
    <w:rsid w:val="00B567B7"/>
    <w:rsid w:val="00B57937"/>
    <w:rsid w:val="00B57C77"/>
    <w:rsid w:val="00B62FEB"/>
    <w:rsid w:val="00B64B61"/>
    <w:rsid w:val="00B65CA7"/>
    <w:rsid w:val="00B67364"/>
    <w:rsid w:val="00B710E9"/>
    <w:rsid w:val="00B7126A"/>
    <w:rsid w:val="00B734D0"/>
    <w:rsid w:val="00B80502"/>
    <w:rsid w:val="00B805A8"/>
    <w:rsid w:val="00B92770"/>
    <w:rsid w:val="00B9355B"/>
    <w:rsid w:val="00B97600"/>
    <w:rsid w:val="00B97825"/>
    <w:rsid w:val="00BB70FA"/>
    <w:rsid w:val="00BC0BAD"/>
    <w:rsid w:val="00BC35E4"/>
    <w:rsid w:val="00BC3702"/>
    <w:rsid w:val="00BC7625"/>
    <w:rsid w:val="00BD0AC8"/>
    <w:rsid w:val="00BE3EAD"/>
    <w:rsid w:val="00BE757A"/>
    <w:rsid w:val="00C0004D"/>
    <w:rsid w:val="00C02003"/>
    <w:rsid w:val="00C052EA"/>
    <w:rsid w:val="00C06699"/>
    <w:rsid w:val="00C1159D"/>
    <w:rsid w:val="00C25632"/>
    <w:rsid w:val="00C27F47"/>
    <w:rsid w:val="00C338F1"/>
    <w:rsid w:val="00C33C41"/>
    <w:rsid w:val="00C3633E"/>
    <w:rsid w:val="00C366C3"/>
    <w:rsid w:val="00C37B92"/>
    <w:rsid w:val="00C441CD"/>
    <w:rsid w:val="00C4541F"/>
    <w:rsid w:val="00C50293"/>
    <w:rsid w:val="00C55F91"/>
    <w:rsid w:val="00C56CC3"/>
    <w:rsid w:val="00C578E4"/>
    <w:rsid w:val="00C663E6"/>
    <w:rsid w:val="00C7200B"/>
    <w:rsid w:val="00C72C26"/>
    <w:rsid w:val="00C73104"/>
    <w:rsid w:val="00C8225D"/>
    <w:rsid w:val="00C82895"/>
    <w:rsid w:val="00C84EEC"/>
    <w:rsid w:val="00C853C2"/>
    <w:rsid w:val="00C957F2"/>
    <w:rsid w:val="00C97937"/>
    <w:rsid w:val="00CA374E"/>
    <w:rsid w:val="00CA37F5"/>
    <w:rsid w:val="00CB3AA0"/>
    <w:rsid w:val="00CC3A9B"/>
    <w:rsid w:val="00CC58BC"/>
    <w:rsid w:val="00CC71B6"/>
    <w:rsid w:val="00CD01C2"/>
    <w:rsid w:val="00CD331A"/>
    <w:rsid w:val="00CD4B82"/>
    <w:rsid w:val="00CD53D4"/>
    <w:rsid w:val="00CD689B"/>
    <w:rsid w:val="00CE14BB"/>
    <w:rsid w:val="00CF01D3"/>
    <w:rsid w:val="00CF2FB0"/>
    <w:rsid w:val="00CF640F"/>
    <w:rsid w:val="00D010BD"/>
    <w:rsid w:val="00D07164"/>
    <w:rsid w:val="00D10267"/>
    <w:rsid w:val="00D15DB4"/>
    <w:rsid w:val="00D208F6"/>
    <w:rsid w:val="00D20955"/>
    <w:rsid w:val="00D20E1F"/>
    <w:rsid w:val="00D21711"/>
    <w:rsid w:val="00D22A27"/>
    <w:rsid w:val="00D255EE"/>
    <w:rsid w:val="00D27414"/>
    <w:rsid w:val="00D31083"/>
    <w:rsid w:val="00D32096"/>
    <w:rsid w:val="00D349AD"/>
    <w:rsid w:val="00D43352"/>
    <w:rsid w:val="00D43AC4"/>
    <w:rsid w:val="00D45425"/>
    <w:rsid w:val="00D460CB"/>
    <w:rsid w:val="00D623F0"/>
    <w:rsid w:val="00D62F52"/>
    <w:rsid w:val="00D636EE"/>
    <w:rsid w:val="00D65F24"/>
    <w:rsid w:val="00D70A08"/>
    <w:rsid w:val="00D754C7"/>
    <w:rsid w:val="00D77B0F"/>
    <w:rsid w:val="00D818B5"/>
    <w:rsid w:val="00D9053E"/>
    <w:rsid w:val="00D925A0"/>
    <w:rsid w:val="00D97C26"/>
    <w:rsid w:val="00DA1162"/>
    <w:rsid w:val="00DA2878"/>
    <w:rsid w:val="00DA6736"/>
    <w:rsid w:val="00DB1BE0"/>
    <w:rsid w:val="00DB39E2"/>
    <w:rsid w:val="00DB4C57"/>
    <w:rsid w:val="00DC2C9B"/>
    <w:rsid w:val="00DC3EA7"/>
    <w:rsid w:val="00DD2307"/>
    <w:rsid w:val="00DD545A"/>
    <w:rsid w:val="00DE4F57"/>
    <w:rsid w:val="00DE5B8F"/>
    <w:rsid w:val="00DE7DC5"/>
    <w:rsid w:val="00DF1844"/>
    <w:rsid w:val="00DF3BD2"/>
    <w:rsid w:val="00E01413"/>
    <w:rsid w:val="00E01C2C"/>
    <w:rsid w:val="00E023A8"/>
    <w:rsid w:val="00E07469"/>
    <w:rsid w:val="00E1156B"/>
    <w:rsid w:val="00E11738"/>
    <w:rsid w:val="00E1348A"/>
    <w:rsid w:val="00E137AB"/>
    <w:rsid w:val="00E14D63"/>
    <w:rsid w:val="00E20C1A"/>
    <w:rsid w:val="00E233CC"/>
    <w:rsid w:val="00E24E1F"/>
    <w:rsid w:val="00E26D97"/>
    <w:rsid w:val="00E3011E"/>
    <w:rsid w:val="00E30A1D"/>
    <w:rsid w:val="00E32B44"/>
    <w:rsid w:val="00E35821"/>
    <w:rsid w:val="00E41D66"/>
    <w:rsid w:val="00E44772"/>
    <w:rsid w:val="00E534F5"/>
    <w:rsid w:val="00E540ED"/>
    <w:rsid w:val="00E66CE0"/>
    <w:rsid w:val="00E71962"/>
    <w:rsid w:val="00E72D5B"/>
    <w:rsid w:val="00E74A0C"/>
    <w:rsid w:val="00E81175"/>
    <w:rsid w:val="00E8165B"/>
    <w:rsid w:val="00E86163"/>
    <w:rsid w:val="00E86811"/>
    <w:rsid w:val="00EA28DC"/>
    <w:rsid w:val="00EA6102"/>
    <w:rsid w:val="00EA67A3"/>
    <w:rsid w:val="00EA7BA0"/>
    <w:rsid w:val="00EB014C"/>
    <w:rsid w:val="00EB14D2"/>
    <w:rsid w:val="00EB5C7E"/>
    <w:rsid w:val="00EB6B9A"/>
    <w:rsid w:val="00EC2E06"/>
    <w:rsid w:val="00EC3E4D"/>
    <w:rsid w:val="00EC57EE"/>
    <w:rsid w:val="00ED7CF7"/>
    <w:rsid w:val="00EE1F02"/>
    <w:rsid w:val="00EE3F9E"/>
    <w:rsid w:val="00EE411D"/>
    <w:rsid w:val="00EE4185"/>
    <w:rsid w:val="00EE6FE7"/>
    <w:rsid w:val="00EE7F2D"/>
    <w:rsid w:val="00EF1C3B"/>
    <w:rsid w:val="00EF4322"/>
    <w:rsid w:val="00F01906"/>
    <w:rsid w:val="00F02381"/>
    <w:rsid w:val="00F05326"/>
    <w:rsid w:val="00F05720"/>
    <w:rsid w:val="00F05803"/>
    <w:rsid w:val="00F05A6B"/>
    <w:rsid w:val="00F06BF5"/>
    <w:rsid w:val="00F07597"/>
    <w:rsid w:val="00F11B0D"/>
    <w:rsid w:val="00F146CF"/>
    <w:rsid w:val="00F157B7"/>
    <w:rsid w:val="00F16579"/>
    <w:rsid w:val="00F229FD"/>
    <w:rsid w:val="00F26E25"/>
    <w:rsid w:val="00F3302B"/>
    <w:rsid w:val="00F3361A"/>
    <w:rsid w:val="00F346A2"/>
    <w:rsid w:val="00F349A9"/>
    <w:rsid w:val="00F354AF"/>
    <w:rsid w:val="00F44735"/>
    <w:rsid w:val="00F5097F"/>
    <w:rsid w:val="00F53619"/>
    <w:rsid w:val="00F57E2A"/>
    <w:rsid w:val="00F65CC5"/>
    <w:rsid w:val="00F66728"/>
    <w:rsid w:val="00F7065C"/>
    <w:rsid w:val="00F713AE"/>
    <w:rsid w:val="00F72163"/>
    <w:rsid w:val="00F82966"/>
    <w:rsid w:val="00F835EB"/>
    <w:rsid w:val="00F86EED"/>
    <w:rsid w:val="00F87442"/>
    <w:rsid w:val="00F90754"/>
    <w:rsid w:val="00F97FE5"/>
    <w:rsid w:val="00FA02A7"/>
    <w:rsid w:val="00FA2D4F"/>
    <w:rsid w:val="00FA34DA"/>
    <w:rsid w:val="00FB37B8"/>
    <w:rsid w:val="00FB52C0"/>
    <w:rsid w:val="00FB61CD"/>
    <w:rsid w:val="00FC38D6"/>
    <w:rsid w:val="00FC39CB"/>
    <w:rsid w:val="00FC4922"/>
    <w:rsid w:val="00FD0D35"/>
    <w:rsid w:val="00FD55E0"/>
    <w:rsid w:val="00FD7F5C"/>
    <w:rsid w:val="00FE064F"/>
    <w:rsid w:val="00FF1FDC"/>
    <w:rsid w:val="00FF46A3"/>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0938"/>
  <w15:chartTrackingRefBased/>
  <w15:docId w15:val="{75C2A45C-9926-4364-A5A8-68F92690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FE"/>
    <w:pPr>
      <w:spacing w:after="0" w:line="240" w:lineRule="auto"/>
    </w:pPr>
    <w:rPr>
      <w:rFonts w:ascii="Museo Sans 300" w:eastAsia="Calibri" w:hAnsi="Museo Sans 300" w:cs="Times New Roman"/>
      <w:sz w:val="20"/>
      <w:szCs w:val="20"/>
      <w:lang w:eastAsia="en-GB"/>
    </w:rPr>
  </w:style>
  <w:style w:type="paragraph" w:styleId="Heading1">
    <w:name w:val="heading 1"/>
    <w:basedOn w:val="Normal"/>
    <w:next w:val="Normal"/>
    <w:link w:val="Heading1Char"/>
    <w:uiPriority w:val="9"/>
    <w:qFormat/>
    <w:rsid w:val="002D3FFE"/>
    <w:pPr>
      <w:keepNext/>
      <w:keepLines/>
      <w:spacing w:after="240"/>
      <w:outlineLvl w:val="0"/>
    </w:pPr>
    <w:rPr>
      <w:b/>
      <w:bCs/>
      <w:color w:val="4F81BD"/>
      <w:sz w:val="28"/>
      <w:szCs w:val="28"/>
    </w:rPr>
  </w:style>
  <w:style w:type="paragraph" w:styleId="Heading2">
    <w:name w:val="heading 2"/>
    <w:basedOn w:val="Heading1"/>
    <w:next w:val="Normal"/>
    <w:link w:val="Heading2Char"/>
    <w:autoRedefine/>
    <w:uiPriority w:val="9"/>
    <w:qFormat/>
    <w:rsid w:val="00734134"/>
    <w:pPr>
      <w:spacing w:before="240"/>
      <w:ind w:left="34"/>
      <w:jc w:val="both"/>
      <w:outlineLvl w:val="1"/>
    </w:pPr>
    <w:rPr>
      <w:bCs w:val="0"/>
      <w:color w:val="5B9BD5"/>
      <w:sz w:val="20"/>
      <w:szCs w:val="20"/>
    </w:rPr>
  </w:style>
  <w:style w:type="paragraph" w:styleId="Heading3">
    <w:name w:val="heading 3"/>
    <w:basedOn w:val="Heading2"/>
    <w:next w:val="Normal"/>
    <w:link w:val="Heading3Char"/>
    <w:uiPriority w:val="9"/>
    <w:unhideWhenUsed/>
    <w:qFormat/>
    <w:rsid w:val="002D3FFE"/>
    <w:pPr>
      <w:numPr>
        <w:ilvl w:val="2"/>
      </w:numPr>
      <w:spacing w:before="200" w:after="120"/>
      <w:ind w:left="34"/>
      <w:outlineLvl w:val="2"/>
    </w:pPr>
    <w:rPr>
      <w:rFonts w:eastAsia="Times New Roman"/>
      <w:bCs/>
    </w:rPr>
  </w:style>
  <w:style w:type="paragraph" w:styleId="Heading4">
    <w:name w:val="heading 4"/>
    <w:basedOn w:val="Normal"/>
    <w:next w:val="Normal"/>
    <w:link w:val="Heading4Char"/>
    <w:uiPriority w:val="9"/>
    <w:unhideWhenUsed/>
    <w:qFormat/>
    <w:rsid w:val="002D3FF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D3FF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D3FFE"/>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D3FFE"/>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D3FFE"/>
    <w:pPr>
      <w:keepNext/>
      <w:keepLines/>
      <w:spacing w:before="200"/>
      <w:outlineLvl w:val="7"/>
    </w:pPr>
    <w:rPr>
      <w:rFonts w:ascii="Cambria" w:eastAsia="Times New Roman" w:hAnsi="Cambria"/>
      <w:color w:val="404040"/>
    </w:rPr>
  </w:style>
  <w:style w:type="paragraph" w:styleId="Heading9">
    <w:name w:val="heading 9"/>
    <w:basedOn w:val="Normal"/>
    <w:next w:val="Normal"/>
    <w:link w:val="Heading9Char"/>
    <w:uiPriority w:val="9"/>
    <w:semiHidden/>
    <w:unhideWhenUsed/>
    <w:qFormat/>
    <w:rsid w:val="002D3FFE"/>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FFE"/>
    <w:rPr>
      <w:rFonts w:ascii="Museo Sans 300" w:eastAsia="Calibri" w:hAnsi="Museo Sans 300" w:cs="Times New Roman"/>
      <w:b/>
      <w:bCs/>
      <w:color w:val="4F81BD"/>
      <w:sz w:val="28"/>
      <w:szCs w:val="28"/>
      <w:lang w:eastAsia="en-GB"/>
    </w:rPr>
  </w:style>
  <w:style w:type="character" w:customStyle="1" w:styleId="Heading2Char">
    <w:name w:val="Heading 2 Char"/>
    <w:basedOn w:val="DefaultParagraphFont"/>
    <w:link w:val="Heading2"/>
    <w:uiPriority w:val="9"/>
    <w:rsid w:val="00734134"/>
    <w:rPr>
      <w:rFonts w:ascii="Museo Sans 300" w:eastAsia="Calibri" w:hAnsi="Museo Sans 300" w:cs="Times New Roman"/>
      <w:b/>
      <w:color w:val="5B9BD5"/>
      <w:sz w:val="20"/>
      <w:szCs w:val="20"/>
      <w:lang w:eastAsia="en-GB"/>
    </w:rPr>
  </w:style>
  <w:style w:type="character" w:customStyle="1" w:styleId="Heading3Char">
    <w:name w:val="Heading 3 Char"/>
    <w:basedOn w:val="DefaultParagraphFont"/>
    <w:link w:val="Heading3"/>
    <w:uiPriority w:val="9"/>
    <w:rsid w:val="002D3FFE"/>
    <w:rPr>
      <w:rFonts w:ascii="Museo Sans 300" w:eastAsia="Times New Roman" w:hAnsi="Museo Sans 300" w:cs="Times New Roman"/>
      <w:b/>
      <w:bCs/>
      <w:color w:val="5B9BD5"/>
      <w:sz w:val="20"/>
      <w:szCs w:val="20"/>
      <w:lang w:eastAsia="en-GB"/>
    </w:rPr>
  </w:style>
  <w:style w:type="character" w:customStyle="1" w:styleId="Heading4Char">
    <w:name w:val="Heading 4 Char"/>
    <w:basedOn w:val="DefaultParagraphFont"/>
    <w:link w:val="Heading4"/>
    <w:uiPriority w:val="9"/>
    <w:rsid w:val="002D3FFE"/>
    <w:rPr>
      <w:rFonts w:ascii="Cambria" w:eastAsia="Times New Roman" w:hAnsi="Cambria" w:cs="Times New Roman"/>
      <w:b/>
      <w:bCs/>
      <w:i/>
      <w:iCs/>
      <w:color w:val="4F81BD"/>
      <w:sz w:val="20"/>
      <w:szCs w:val="20"/>
      <w:lang w:eastAsia="en-GB"/>
    </w:rPr>
  </w:style>
  <w:style w:type="character" w:customStyle="1" w:styleId="Heading5Char">
    <w:name w:val="Heading 5 Char"/>
    <w:basedOn w:val="DefaultParagraphFont"/>
    <w:link w:val="Heading5"/>
    <w:uiPriority w:val="9"/>
    <w:semiHidden/>
    <w:rsid w:val="002D3FFE"/>
    <w:rPr>
      <w:rFonts w:ascii="Cambria" w:eastAsia="Times New Roman" w:hAnsi="Cambria" w:cs="Times New Roman"/>
      <w:color w:val="243F60"/>
      <w:sz w:val="20"/>
      <w:szCs w:val="20"/>
      <w:lang w:eastAsia="en-GB"/>
    </w:rPr>
  </w:style>
  <w:style w:type="character" w:customStyle="1" w:styleId="Heading6Char">
    <w:name w:val="Heading 6 Char"/>
    <w:basedOn w:val="DefaultParagraphFont"/>
    <w:link w:val="Heading6"/>
    <w:uiPriority w:val="9"/>
    <w:semiHidden/>
    <w:rsid w:val="002D3FFE"/>
    <w:rPr>
      <w:rFonts w:ascii="Cambria" w:eastAsia="Times New Roman" w:hAnsi="Cambria" w:cs="Times New Roman"/>
      <w:i/>
      <w:iCs/>
      <w:color w:val="243F60"/>
      <w:sz w:val="20"/>
      <w:szCs w:val="20"/>
      <w:lang w:eastAsia="en-GB"/>
    </w:rPr>
  </w:style>
  <w:style w:type="character" w:customStyle="1" w:styleId="Heading7Char">
    <w:name w:val="Heading 7 Char"/>
    <w:basedOn w:val="DefaultParagraphFont"/>
    <w:link w:val="Heading7"/>
    <w:uiPriority w:val="9"/>
    <w:semiHidden/>
    <w:rsid w:val="002D3FFE"/>
    <w:rPr>
      <w:rFonts w:ascii="Cambria" w:eastAsia="Times New Roman" w:hAnsi="Cambria" w:cs="Times New Roman"/>
      <w:i/>
      <w:iCs/>
      <w:color w:val="404040"/>
      <w:sz w:val="20"/>
      <w:szCs w:val="20"/>
      <w:lang w:eastAsia="en-GB"/>
    </w:rPr>
  </w:style>
  <w:style w:type="character" w:customStyle="1" w:styleId="Heading8Char">
    <w:name w:val="Heading 8 Char"/>
    <w:basedOn w:val="DefaultParagraphFont"/>
    <w:link w:val="Heading8"/>
    <w:uiPriority w:val="9"/>
    <w:semiHidden/>
    <w:rsid w:val="002D3FFE"/>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2D3FFE"/>
    <w:rPr>
      <w:rFonts w:ascii="Cambria" w:eastAsia="Times New Roman" w:hAnsi="Cambria" w:cs="Times New Roman"/>
      <w:i/>
      <w:iCs/>
      <w:color w:val="404040"/>
      <w:sz w:val="20"/>
      <w:szCs w:val="20"/>
      <w:lang w:eastAsia="en-GB"/>
    </w:rPr>
  </w:style>
  <w:style w:type="paragraph" w:styleId="Caption">
    <w:name w:val="caption"/>
    <w:basedOn w:val="Normal"/>
    <w:next w:val="Normal"/>
    <w:uiPriority w:val="35"/>
    <w:unhideWhenUsed/>
    <w:qFormat/>
    <w:rsid w:val="002D3FFE"/>
    <w:pPr>
      <w:spacing w:after="200"/>
    </w:pPr>
    <w:rPr>
      <w:b/>
      <w:bCs/>
      <w:color w:val="4F81BD"/>
      <w:sz w:val="18"/>
      <w:szCs w:val="18"/>
    </w:rPr>
  </w:style>
  <w:style w:type="paragraph" w:styleId="Title">
    <w:name w:val="Title"/>
    <w:basedOn w:val="Heading1"/>
    <w:next w:val="Normal"/>
    <w:link w:val="TitleChar"/>
    <w:autoRedefine/>
    <w:uiPriority w:val="10"/>
    <w:qFormat/>
    <w:rsid w:val="002D3FFE"/>
    <w:pPr>
      <w:spacing w:before="120"/>
    </w:pPr>
    <w:rPr>
      <w:rFonts w:eastAsia="Times New Roman"/>
      <w:color w:val="548DD4"/>
      <w:sz w:val="22"/>
      <w:szCs w:val="40"/>
    </w:rPr>
  </w:style>
  <w:style w:type="character" w:customStyle="1" w:styleId="TitleChar">
    <w:name w:val="Title Char"/>
    <w:basedOn w:val="DefaultParagraphFont"/>
    <w:link w:val="Title"/>
    <w:uiPriority w:val="10"/>
    <w:rsid w:val="002D3FFE"/>
    <w:rPr>
      <w:rFonts w:ascii="Museo Sans 300" w:eastAsia="Times New Roman" w:hAnsi="Museo Sans 300" w:cs="Times New Roman"/>
      <w:b/>
      <w:bCs/>
      <w:color w:val="548DD4"/>
      <w:szCs w:val="40"/>
      <w:lang w:eastAsia="en-GB"/>
    </w:rPr>
  </w:style>
  <w:style w:type="paragraph" w:styleId="Subtitle">
    <w:name w:val="Subtitle"/>
    <w:basedOn w:val="Title"/>
    <w:next w:val="Normal"/>
    <w:link w:val="SubtitleChar"/>
    <w:uiPriority w:val="11"/>
    <w:qFormat/>
    <w:rsid w:val="002D3FFE"/>
    <w:pPr>
      <w:spacing w:before="0"/>
    </w:pPr>
    <w:rPr>
      <w:sz w:val="32"/>
      <w:szCs w:val="32"/>
    </w:rPr>
  </w:style>
  <w:style w:type="character" w:customStyle="1" w:styleId="SubtitleChar">
    <w:name w:val="Subtitle Char"/>
    <w:basedOn w:val="DefaultParagraphFont"/>
    <w:link w:val="Subtitle"/>
    <w:uiPriority w:val="11"/>
    <w:rsid w:val="002D3FFE"/>
    <w:rPr>
      <w:rFonts w:ascii="Museo Sans 300" w:eastAsia="Times New Roman" w:hAnsi="Museo Sans 300" w:cs="Times New Roman"/>
      <w:b/>
      <w:bCs/>
      <w:color w:val="548DD4"/>
      <w:sz w:val="32"/>
      <w:szCs w:val="32"/>
      <w:lang w:eastAsia="en-GB"/>
    </w:rPr>
  </w:style>
  <w:style w:type="character" w:styleId="Strong">
    <w:name w:val="Strong"/>
    <w:uiPriority w:val="22"/>
    <w:qFormat/>
    <w:rsid w:val="002D3FFE"/>
    <w:rPr>
      <w:b/>
      <w:bCs/>
    </w:rPr>
  </w:style>
  <w:style w:type="character" w:styleId="Emphasis">
    <w:name w:val="Emphasis"/>
    <w:uiPriority w:val="20"/>
    <w:qFormat/>
    <w:rsid w:val="002D3FFE"/>
    <w:rPr>
      <w:i/>
      <w:iCs/>
    </w:rPr>
  </w:style>
  <w:style w:type="paragraph" w:styleId="NoSpacing">
    <w:name w:val="No Spacing"/>
    <w:uiPriority w:val="1"/>
    <w:rsid w:val="002D3FFE"/>
    <w:pPr>
      <w:spacing w:after="0" w:line="240" w:lineRule="auto"/>
    </w:pPr>
    <w:rPr>
      <w:rFonts w:ascii="Museo Sans 300" w:eastAsia="Calibri" w:hAnsi="Museo Sans 300" w:cs="Times New Roman"/>
      <w:lang w:val="en-US" w:bidi="en-US"/>
    </w:rPr>
  </w:style>
  <w:style w:type="paragraph" w:styleId="ListParagraph">
    <w:name w:val="List Paragraph"/>
    <w:aliases w:val="Dot pt,Bullet point list,List Paragraph1,Bullet 1,List Paragraph Char Char,b1,Normal Sentence,Number_1,List Paragraph11,List Paragraph2,new,SGLText List Paragraph,ListPar1,lp1,list1,*Body 1,b-heading 1/heading 2"/>
    <w:basedOn w:val="Normal"/>
    <w:link w:val="ListParagraphChar"/>
    <w:uiPriority w:val="34"/>
    <w:qFormat/>
    <w:rsid w:val="002D3FFE"/>
    <w:pPr>
      <w:ind w:left="720"/>
      <w:contextualSpacing/>
    </w:pPr>
  </w:style>
  <w:style w:type="paragraph" w:styleId="Quote">
    <w:name w:val="Quote"/>
    <w:basedOn w:val="Normal"/>
    <w:next w:val="Normal"/>
    <w:link w:val="QuoteChar"/>
    <w:uiPriority w:val="29"/>
    <w:rsid w:val="002D3FFE"/>
    <w:rPr>
      <w:i/>
      <w:iCs/>
      <w:color w:val="000000"/>
    </w:rPr>
  </w:style>
  <w:style w:type="character" w:customStyle="1" w:styleId="QuoteChar">
    <w:name w:val="Quote Char"/>
    <w:basedOn w:val="DefaultParagraphFont"/>
    <w:link w:val="Quote"/>
    <w:uiPriority w:val="29"/>
    <w:rsid w:val="002D3FFE"/>
    <w:rPr>
      <w:rFonts w:ascii="Museo Sans 300" w:eastAsia="Calibri" w:hAnsi="Museo Sans 300" w:cs="Times New Roman"/>
      <w:i/>
      <w:iCs/>
      <w:color w:val="000000"/>
      <w:sz w:val="20"/>
      <w:szCs w:val="20"/>
      <w:lang w:eastAsia="en-GB"/>
    </w:rPr>
  </w:style>
  <w:style w:type="paragraph" w:styleId="IntenseQuote">
    <w:name w:val="Intense Quote"/>
    <w:basedOn w:val="Normal"/>
    <w:next w:val="Normal"/>
    <w:link w:val="IntenseQuoteChar"/>
    <w:uiPriority w:val="30"/>
    <w:rsid w:val="002D3FF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D3FFE"/>
    <w:rPr>
      <w:rFonts w:ascii="Museo Sans 300" w:eastAsia="Calibri" w:hAnsi="Museo Sans 300" w:cs="Times New Roman"/>
      <w:b/>
      <w:bCs/>
      <w:i/>
      <w:iCs/>
      <w:color w:val="4F81BD"/>
      <w:sz w:val="20"/>
      <w:szCs w:val="20"/>
      <w:lang w:eastAsia="en-GB"/>
    </w:rPr>
  </w:style>
  <w:style w:type="character" w:styleId="SubtleEmphasis">
    <w:name w:val="Subtle Emphasis"/>
    <w:uiPriority w:val="19"/>
    <w:rsid w:val="002D3FFE"/>
    <w:rPr>
      <w:i/>
      <w:iCs/>
      <w:color w:val="808080"/>
    </w:rPr>
  </w:style>
  <w:style w:type="character" w:styleId="IntenseEmphasis">
    <w:name w:val="Intense Emphasis"/>
    <w:uiPriority w:val="21"/>
    <w:rsid w:val="002D3FFE"/>
    <w:rPr>
      <w:b/>
      <w:bCs/>
      <w:i/>
      <w:iCs/>
      <w:color w:val="4F81BD"/>
    </w:rPr>
  </w:style>
  <w:style w:type="character" w:styleId="SubtleReference">
    <w:name w:val="Subtle Reference"/>
    <w:uiPriority w:val="31"/>
    <w:rsid w:val="002D3FFE"/>
    <w:rPr>
      <w:smallCaps/>
      <w:color w:val="C0504D"/>
      <w:u w:val="single"/>
    </w:rPr>
  </w:style>
  <w:style w:type="character" w:styleId="IntenseReference">
    <w:name w:val="Intense Reference"/>
    <w:uiPriority w:val="32"/>
    <w:rsid w:val="002D3FFE"/>
    <w:rPr>
      <w:b/>
      <w:bCs/>
      <w:smallCaps/>
      <w:color w:val="C0504D"/>
      <w:spacing w:val="5"/>
      <w:u w:val="single"/>
    </w:rPr>
  </w:style>
  <w:style w:type="character" w:styleId="BookTitle">
    <w:name w:val="Book Title"/>
    <w:uiPriority w:val="33"/>
    <w:rsid w:val="002D3FFE"/>
    <w:rPr>
      <w:b/>
      <w:bCs/>
      <w:smallCaps/>
      <w:spacing w:val="5"/>
    </w:rPr>
  </w:style>
  <w:style w:type="paragraph" w:styleId="TOCHeading">
    <w:name w:val="TOC Heading"/>
    <w:basedOn w:val="Heading1"/>
    <w:next w:val="Normal"/>
    <w:uiPriority w:val="39"/>
    <w:unhideWhenUsed/>
    <w:qFormat/>
    <w:rsid w:val="002D3FFE"/>
    <w:pPr>
      <w:spacing w:before="480"/>
      <w:outlineLvl w:val="9"/>
    </w:pPr>
    <w:rPr>
      <w:rFonts w:ascii="Cambria" w:eastAsia="Times New Roman" w:hAnsi="Cambria"/>
      <w:color w:val="365F91"/>
    </w:rPr>
  </w:style>
  <w:style w:type="paragraph" w:styleId="DocumentMap">
    <w:name w:val="Document Map"/>
    <w:basedOn w:val="Normal"/>
    <w:link w:val="DocumentMapChar"/>
    <w:uiPriority w:val="99"/>
    <w:semiHidden/>
    <w:unhideWhenUsed/>
    <w:rsid w:val="002D3FFE"/>
    <w:rPr>
      <w:rFonts w:ascii="Tahoma" w:hAnsi="Tahoma" w:cs="Tahoma"/>
      <w:sz w:val="16"/>
      <w:szCs w:val="16"/>
    </w:rPr>
  </w:style>
  <w:style w:type="character" w:customStyle="1" w:styleId="DocumentMapChar">
    <w:name w:val="Document Map Char"/>
    <w:basedOn w:val="DefaultParagraphFont"/>
    <w:link w:val="DocumentMap"/>
    <w:uiPriority w:val="99"/>
    <w:semiHidden/>
    <w:rsid w:val="002D3FFE"/>
    <w:rPr>
      <w:rFonts w:ascii="Tahoma" w:eastAsia="Calibri" w:hAnsi="Tahoma" w:cs="Tahoma"/>
      <w:sz w:val="16"/>
      <w:szCs w:val="16"/>
      <w:lang w:eastAsia="en-GB"/>
    </w:rPr>
  </w:style>
  <w:style w:type="paragraph" w:styleId="Header">
    <w:name w:val="header"/>
    <w:basedOn w:val="Normal"/>
    <w:link w:val="HeaderChar"/>
    <w:uiPriority w:val="99"/>
    <w:unhideWhenUsed/>
    <w:rsid w:val="002D3FFE"/>
    <w:pPr>
      <w:tabs>
        <w:tab w:val="center" w:pos="4513"/>
        <w:tab w:val="right" w:pos="9026"/>
      </w:tabs>
    </w:pPr>
  </w:style>
  <w:style w:type="character" w:customStyle="1" w:styleId="HeaderChar">
    <w:name w:val="Header Char"/>
    <w:basedOn w:val="DefaultParagraphFont"/>
    <w:link w:val="Header"/>
    <w:uiPriority w:val="99"/>
    <w:rsid w:val="002D3FFE"/>
    <w:rPr>
      <w:rFonts w:ascii="Museo Sans 300" w:eastAsia="Calibri" w:hAnsi="Museo Sans 300" w:cs="Times New Roman"/>
      <w:sz w:val="20"/>
      <w:szCs w:val="20"/>
      <w:lang w:eastAsia="en-GB"/>
    </w:rPr>
  </w:style>
  <w:style w:type="paragraph" w:styleId="Footer">
    <w:name w:val="footer"/>
    <w:basedOn w:val="Normal"/>
    <w:link w:val="FooterChar"/>
    <w:uiPriority w:val="99"/>
    <w:unhideWhenUsed/>
    <w:rsid w:val="002D3FFE"/>
    <w:pPr>
      <w:tabs>
        <w:tab w:val="center" w:pos="4513"/>
        <w:tab w:val="right" w:pos="9026"/>
      </w:tabs>
    </w:pPr>
  </w:style>
  <w:style w:type="character" w:customStyle="1" w:styleId="FooterChar">
    <w:name w:val="Footer Char"/>
    <w:basedOn w:val="DefaultParagraphFont"/>
    <w:link w:val="Footer"/>
    <w:uiPriority w:val="99"/>
    <w:rsid w:val="002D3FFE"/>
    <w:rPr>
      <w:rFonts w:ascii="Museo Sans 300" w:eastAsia="Calibri" w:hAnsi="Museo Sans 300" w:cs="Times New Roman"/>
      <w:sz w:val="20"/>
      <w:szCs w:val="20"/>
      <w:lang w:eastAsia="en-GB"/>
    </w:rPr>
  </w:style>
  <w:style w:type="table" w:styleId="TableGrid">
    <w:name w:val="Table Grid"/>
    <w:basedOn w:val="TableNormal"/>
    <w:uiPriority w:val="59"/>
    <w:rsid w:val="002D3FFE"/>
    <w:pPr>
      <w:spacing w:after="0" w:line="240" w:lineRule="auto"/>
    </w:pPr>
    <w:rPr>
      <w:rFonts w:ascii="Museo Sans 300" w:eastAsia="Calibri" w:hAnsi="Museo Sans 300"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2D3FFE"/>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1">
    <w:name w:val="toc 1"/>
    <w:basedOn w:val="Normal"/>
    <w:next w:val="Normal"/>
    <w:autoRedefine/>
    <w:uiPriority w:val="39"/>
    <w:unhideWhenUsed/>
    <w:rsid w:val="002D3FFE"/>
    <w:pPr>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2D3FFE"/>
    <w:pPr>
      <w:tabs>
        <w:tab w:val="left" w:pos="800"/>
        <w:tab w:val="right" w:leader="dot" w:pos="9016"/>
      </w:tabs>
      <w:ind w:left="200"/>
    </w:pPr>
    <w:rPr>
      <w:rFonts w:asciiTheme="minorHAnsi" w:hAnsiTheme="minorHAnsi" w:cstheme="minorHAnsi"/>
      <w:smallCaps/>
    </w:rPr>
  </w:style>
  <w:style w:type="character" w:styleId="Hyperlink">
    <w:name w:val="Hyperlink"/>
    <w:uiPriority w:val="99"/>
    <w:unhideWhenUsed/>
    <w:rsid w:val="002D3FFE"/>
    <w:rPr>
      <w:color w:val="0000FF"/>
      <w:u w:val="single"/>
    </w:rPr>
  </w:style>
  <w:style w:type="paragraph" w:customStyle="1" w:styleId="Default">
    <w:name w:val="Default"/>
    <w:rsid w:val="002D3FFE"/>
    <w:pPr>
      <w:autoSpaceDE w:val="0"/>
      <w:autoSpaceDN w:val="0"/>
      <w:adjustRightInd w:val="0"/>
      <w:spacing w:after="0" w:line="240" w:lineRule="auto"/>
    </w:pPr>
    <w:rPr>
      <w:rFonts w:ascii="ScalaSansLF-Regular" w:eastAsia="Calibri" w:hAnsi="ScalaSansLF-Regular" w:cs="ScalaSansLF-Regular"/>
      <w:color w:val="000000"/>
      <w:sz w:val="24"/>
      <w:szCs w:val="24"/>
      <w:lang w:eastAsia="en-GB"/>
    </w:rPr>
  </w:style>
  <w:style w:type="paragraph" w:styleId="BalloonText">
    <w:name w:val="Balloon Text"/>
    <w:basedOn w:val="Normal"/>
    <w:link w:val="BalloonTextChar"/>
    <w:uiPriority w:val="99"/>
    <w:semiHidden/>
    <w:unhideWhenUsed/>
    <w:rsid w:val="002D3FFE"/>
    <w:rPr>
      <w:rFonts w:ascii="Tahoma" w:hAnsi="Tahoma" w:cs="Tahoma"/>
      <w:sz w:val="16"/>
      <w:szCs w:val="16"/>
    </w:rPr>
  </w:style>
  <w:style w:type="character" w:customStyle="1" w:styleId="BalloonTextChar">
    <w:name w:val="Balloon Text Char"/>
    <w:basedOn w:val="DefaultParagraphFont"/>
    <w:link w:val="BalloonText"/>
    <w:uiPriority w:val="99"/>
    <w:semiHidden/>
    <w:rsid w:val="002D3FFE"/>
    <w:rPr>
      <w:rFonts w:ascii="Tahoma" w:eastAsia="Calibri" w:hAnsi="Tahoma" w:cs="Tahoma"/>
      <w:sz w:val="16"/>
      <w:szCs w:val="16"/>
      <w:lang w:eastAsia="en-GB"/>
    </w:rPr>
  </w:style>
  <w:style w:type="table" w:styleId="LightShading-Accent5">
    <w:name w:val="Light Shading Accent 5"/>
    <w:basedOn w:val="TableNormal"/>
    <w:uiPriority w:val="60"/>
    <w:rsid w:val="002D3FFE"/>
    <w:pPr>
      <w:spacing w:after="0" w:line="240" w:lineRule="auto"/>
    </w:pPr>
    <w:rPr>
      <w:rFonts w:ascii="Museo Sans 300" w:eastAsia="Calibri" w:hAnsi="Museo Sans 300"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2D3FFE"/>
    <w:pPr>
      <w:spacing w:after="0" w:line="240" w:lineRule="auto"/>
    </w:pPr>
    <w:rPr>
      <w:rFonts w:ascii="Museo Sans 300" w:eastAsia="Calibri" w:hAnsi="Museo Sans 300"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uiPriority w:val="99"/>
    <w:semiHidden/>
    <w:unhideWhenUsed/>
    <w:rsid w:val="002D3FFE"/>
    <w:rPr>
      <w:sz w:val="16"/>
      <w:szCs w:val="16"/>
    </w:rPr>
  </w:style>
  <w:style w:type="paragraph" w:styleId="CommentText">
    <w:name w:val="annotation text"/>
    <w:basedOn w:val="Normal"/>
    <w:link w:val="CommentTextChar"/>
    <w:uiPriority w:val="99"/>
    <w:unhideWhenUsed/>
    <w:rsid w:val="002D3FFE"/>
  </w:style>
  <w:style w:type="character" w:customStyle="1" w:styleId="CommentTextChar">
    <w:name w:val="Comment Text Char"/>
    <w:basedOn w:val="DefaultParagraphFont"/>
    <w:link w:val="CommentText"/>
    <w:uiPriority w:val="99"/>
    <w:rsid w:val="002D3FFE"/>
    <w:rPr>
      <w:rFonts w:ascii="Museo Sans 300" w:eastAsia="Calibri" w:hAnsi="Museo Sans 300"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D3FFE"/>
    <w:rPr>
      <w:b/>
      <w:bCs/>
    </w:rPr>
  </w:style>
  <w:style w:type="character" w:customStyle="1" w:styleId="CommentSubjectChar">
    <w:name w:val="Comment Subject Char"/>
    <w:basedOn w:val="CommentTextChar"/>
    <w:link w:val="CommentSubject"/>
    <w:uiPriority w:val="99"/>
    <w:semiHidden/>
    <w:rsid w:val="002D3FFE"/>
    <w:rPr>
      <w:rFonts w:ascii="Museo Sans 300" w:eastAsia="Calibri" w:hAnsi="Museo Sans 300" w:cs="Times New Roman"/>
      <w:b/>
      <w:bCs/>
      <w:sz w:val="20"/>
      <w:szCs w:val="20"/>
      <w:lang w:eastAsia="en-GB"/>
    </w:rPr>
  </w:style>
  <w:style w:type="paragraph" w:customStyle="1" w:styleId="RHHeader">
    <w:name w:val="R H Header"/>
    <w:basedOn w:val="Normal"/>
    <w:link w:val="RHHeaderChar"/>
    <w:qFormat/>
    <w:rsid w:val="002D3FFE"/>
    <w:pPr>
      <w:jc w:val="right"/>
    </w:pPr>
    <w:rPr>
      <w:sz w:val="18"/>
      <w:szCs w:val="18"/>
    </w:rPr>
  </w:style>
  <w:style w:type="character" w:customStyle="1" w:styleId="RHHeaderChar">
    <w:name w:val="R H Header Char"/>
    <w:link w:val="RHHeader"/>
    <w:rsid w:val="002D3FFE"/>
    <w:rPr>
      <w:rFonts w:ascii="Museo Sans 300" w:eastAsia="Calibri" w:hAnsi="Museo Sans 300" w:cs="Times New Roman"/>
      <w:sz w:val="18"/>
      <w:szCs w:val="18"/>
      <w:lang w:eastAsia="en-GB"/>
    </w:rPr>
  </w:style>
  <w:style w:type="paragraph" w:customStyle="1" w:styleId="subheading">
    <w:name w:val="sub heading"/>
    <w:basedOn w:val="Subtitle"/>
    <w:link w:val="subheadingChar"/>
    <w:qFormat/>
    <w:rsid w:val="002D3FFE"/>
    <w:rPr>
      <w:b w:val="0"/>
      <w:sz w:val="24"/>
      <w:szCs w:val="24"/>
    </w:rPr>
  </w:style>
  <w:style w:type="character" w:customStyle="1" w:styleId="subheadingChar">
    <w:name w:val="sub heading Char"/>
    <w:link w:val="subheading"/>
    <w:rsid w:val="002D3FFE"/>
    <w:rPr>
      <w:rFonts w:ascii="Museo Sans 300" w:eastAsia="Times New Roman" w:hAnsi="Museo Sans 300" w:cs="Times New Roman"/>
      <w:bCs/>
      <w:color w:val="548DD4"/>
      <w:sz w:val="24"/>
      <w:szCs w:val="24"/>
      <w:lang w:eastAsia="en-GB"/>
    </w:rPr>
  </w:style>
  <w:style w:type="paragraph" w:styleId="Revision">
    <w:name w:val="Revision"/>
    <w:hidden/>
    <w:uiPriority w:val="99"/>
    <w:semiHidden/>
    <w:rsid w:val="002D3FFE"/>
    <w:pPr>
      <w:spacing w:after="0" w:line="240" w:lineRule="auto"/>
    </w:pPr>
    <w:rPr>
      <w:rFonts w:ascii="Museo Sans 300" w:eastAsia="Calibri" w:hAnsi="Museo Sans 300" w:cs="Times New Roman"/>
      <w:sz w:val="20"/>
      <w:szCs w:val="20"/>
      <w:lang w:eastAsia="en-GB"/>
    </w:rPr>
  </w:style>
  <w:style w:type="table" w:styleId="GridTable1Light-Accent1">
    <w:name w:val="Grid Table 1 Light Accent 1"/>
    <w:basedOn w:val="TableNormal"/>
    <w:uiPriority w:val="46"/>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DecAlign">
    <w:name w:val="NoDecAlign"/>
    <w:basedOn w:val="Normal"/>
    <w:rsid w:val="002D3FFE"/>
    <w:pPr>
      <w:tabs>
        <w:tab w:val="decimal" w:pos="1021"/>
      </w:tabs>
      <w:overflowPunct w:val="0"/>
      <w:autoSpaceDE w:val="0"/>
      <w:autoSpaceDN w:val="0"/>
      <w:adjustRightInd w:val="0"/>
      <w:jc w:val="both"/>
      <w:textAlignment w:val="baseline"/>
    </w:pPr>
    <w:rPr>
      <w:rFonts w:ascii="Times New Roman" w:eastAsia="Times New Roman" w:hAnsi="Times New Roman"/>
      <w:sz w:val="18"/>
      <w:lang w:eastAsia="en-US"/>
    </w:rPr>
  </w:style>
  <w:style w:type="paragraph" w:customStyle="1" w:styleId="ACText">
    <w:name w:val="AC Text"/>
    <w:basedOn w:val="Normal"/>
    <w:link w:val="ACTextChar"/>
    <w:rsid w:val="002D3FFE"/>
    <w:pPr>
      <w:tabs>
        <w:tab w:val="left" w:pos="0"/>
      </w:tabs>
      <w:suppressAutoHyphens/>
      <w:overflowPunct w:val="0"/>
      <w:autoSpaceDE w:val="0"/>
      <w:autoSpaceDN w:val="0"/>
      <w:adjustRightInd w:val="0"/>
      <w:spacing w:before="130"/>
      <w:jc w:val="both"/>
      <w:textAlignment w:val="baseline"/>
    </w:pPr>
    <w:rPr>
      <w:rFonts w:ascii="Times New Roman" w:eastAsia="Times New Roman" w:hAnsi="Times New Roman"/>
      <w:lang w:eastAsia="en-US"/>
    </w:rPr>
  </w:style>
  <w:style w:type="character" w:customStyle="1" w:styleId="ACTextChar">
    <w:name w:val="AC Text Char"/>
    <w:basedOn w:val="DefaultParagraphFont"/>
    <w:link w:val="ACText"/>
    <w:rsid w:val="002D3FFE"/>
    <w:rPr>
      <w:rFonts w:ascii="Times New Roman" w:eastAsia="Times New Roman" w:hAnsi="Times New Roman" w:cs="Times New Roman"/>
      <w:sz w:val="20"/>
      <w:szCs w:val="20"/>
    </w:rPr>
  </w:style>
  <w:style w:type="table" w:styleId="MediumShading1-Accent1">
    <w:name w:val="Medium Shading 1 Accent 1"/>
    <w:basedOn w:val="TableNormal"/>
    <w:uiPriority w:val="63"/>
    <w:rsid w:val="002D3FF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2D3F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1">
    <w:name w:val="List Table 6 Colorful Accent 1"/>
    <w:basedOn w:val="TableNormal"/>
    <w:uiPriority w:val="51"/>
    <w:rsid w:val="002D3FFE"/>
    <w:pPr>
      <w:spacing w:after="0" w:line="240" w:lineRule="auto"/>
    </w:pPr>
    <w:rPr>
      <w:rFonts w:ascii="Museo Sans 300" w:eastAsia="Calibri" w:hAnsi="Museo Sans 300" w:cs="Times New Roman"/>
      <w:color w:val="2F5496" w:themeColor="accent1" w:themeShade="BF"/>
      <w:sz w:val="20"/>
      <w:szCs w:val="20"/>
      <w:lang w:eastAsia="en-GB"/>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3">
    <w:name w:val="toc 3"/>
    <w:basedOn w:val="Normal"/>
    <w:next w:val="Normal"/>
    <w:autoRedefine/>
    <w:uiPriority w:val="39"/>
    <w:unhideWhenUsed/>
    <w:rsid w:val="002D3FFE"/>
    <w:pPr>
      <w:ind w:left="400"/>
    </w:pPr>
    <w:rPr>
      <w:rFonts w:asciiTheme="minorHAnsi" w:hAnsiTheme="minorHAnsi" w:cstheme="minorHAnsi"/>
      <w:i/>
      <w:iCs/>
    </w:rPr>
  </w:style>
  <w:style w:type="paragraph" w:styleId="TOC4">
    <w:name w:val="toc 4"/>
    <w:basedOn w:val="Normal"/>
    <w:next w:val="Normal"/>
    <w:autoRedefine/>
    <w:uiPriority w:val="39"/>
    <w:unhideWhenUsed/>
    <w:rsid w:val="002D3FFE"/>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2D3FFE"/>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2D3FFE"/>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2D3FFE"/>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2D3FFE"/>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2D3FFE"/>
    <w:pPr>
      <w:ind w:left="1600"/>
    </w:pPr>
    <w:rPr>
      <w:rFonts w:asciiTheme="minorHAnsi" w:hAnsiTheme="minorHAnsi" w:cstheme="minorHAnsi"/>
      <w:sz w:val="18"/>
      <w:szCs w:val="18"/>
    </w:rPr>
  </w:style>
  <w:style w:type="table" w:styleId="GridTable4-Accent1">
    <w:name w:val="Grid Table 4 Accent 1"/>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5">
    <w:name w:val="Grid Table 5 Dark Accent 5"/>
    <w:basedOn w:val="TableNormal"/>
    <w:uiPriority w:val="50"/>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Graphic">
    <w:name w:val="Graphic"/>
    <w:basedOn w:val="Normal"/>
    <w:rsid w:val="002D3FFE"/>
    <w:pPr>
      <w:keepNext/>
      <w:overflowPunct w:val="0"/>
      <w:autoSpaceDE w:val="0"/>
      <w:autoSpaceDN w:val="0"/>
      <w:adjustRightInd w:val="0"/>
      <w:spacing w:before="130" w:after="130"/>
      <w:jc w:val="center"/>
      <w:textAlignment w:val="baseline"/>
    </w:pPr>
    <w:rPr>
      <w:rFonts w:ascii="Times New Roman" w:eastAsia="Times New Roman" w:hAnsi="Times New Roman"/>
      <w:sz w:val="22"/>
      <w:lang w:eastAsia="en-US"/>
    </w:rPr>
  </w:style>
  <w:style w:type="table" w:customStyle="1" w:styleId="TableGrid1">
    <w:name w:val="Table Grid1"/>
    <w:basedOn w:val="TableNormal"/>
    <w:next w:val="TableGrid"/>
    <w:uiPriority w:val="39"/>
    <w:rsid w:val="002D3F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WithoutOne">
    <w:name w:val="AlignWithoutOne"/>
    <w:basedOn w:val="Normal"/>
    <w:rsid w:val="002D3FFE"/>
    <w:pPr>
      <w:overflowPunct w:val="0"/>
      <w:autoSpaceDE w:val="0"/>
      <w:autoSpaceDN w:val="0"/>
      <w:adjustRightInd w:val="0"/>
      <w:ind w:left="153" w:right="57" w:hanging="153"/>
      <w:jc w:val="right"/>
      <w:textAlignment w:val="baseline"/>
    </w:pPr>
    <w:rPr>
      <w:rFonts w:ascii="Times New Roman" w:eastAsia="Times New Roman" w:hAnsi="Times New Roman"/>
      <w:sz w:val="18"/>
      <w:lang w:eastAsia="en-US"/>
    </w:rPr>
  </w:style>
  <w:style w:type="paragraph" w:customStyle="1" w:styleId="ACPageHeading">
    <w:name w:val="AC Page Heading"/>
    <w:basedOn w:val="Normal"/>
    <w:link w:val="ACPageHeadingChar"/>
    <w:rsid w:val="002D3FFE"/>
    <w:pPr>
      <w:pageBreakBefore/>
      <w:suppressAutoHyphens/>
      <w:overflowPunct w:val="0"/>
      <w:autoSpaceDE w:val="0"/>
      <w:autoSpaceDN w:val="0"/>
      <w:adjustRightInd w:val="0"/>
      <w:jc w:val="both"/>
      <w:textAlignment w:val="baseline"/>
    </w:pPr>
    <w:rPr>
      <w:rFonts w:ascii="Times New Roman" w:eastAsia="Times New Roman" w:hAnsi="Times New Roman"/>
      <w:b/>
      <w:sz w:val="26"/>
      <w:lang w:eastAsia="en-US"/>
    </w:rPr>
  </w:style>
  <w:style w:type="character" w:customStyle="1" w:styleId="ACPageHeadingChar">
    <w:name w:val="AC Page Heading Char"/>
    <w:basedOn w:val="DefaultParagraphFont"/>
    <w:link w:val="ACPageHeading"/>
    <w:rsid w:val="002D3FFE"/>
    <w:rPr>
      <w:rFonts w:ascii="Times New Roman" w:eastAsia="Times New Roman" w:hAnsi="Times New Roman" w:cs="Times New Roman"/>
      <w:b/>
      <w:sz w:val="26"/>
      <w:szCs w:val="20"/>
    </w:rPr>
  </w:style>
  <w:style w:type="paragraph" w:styleId="NormalWeb">
    <w:name w:val="Normal (Web)"/>
    <w:basedOn w:val="Normal"/>
    <w:uiPriority w:val="99"/>
    <w:unhideWhenUsed/>
    <w:rsid w:val="002D3FFE"/>
    <w:pPr>
      <w:spacing w:before="100" w:beforeAutospacing="1" w:after="100" w:afterAutospacing="1"/>
    </w:pPr>
    <w:rPr>
      <w:rFonts w:ascii="Times New Roman" w:eastAsia="Times New Roman" w:hAnsi="Times New Roman"/>
      <w:sz w:val="24"/>
      <w:szCs w:val="24"/>
    </w:rPr>
  </w:style>
  <w:style w:type="paragraph" w:customStyle="1" w:styleId="List1">
    <w:name w:val="List 1"/>
    <w:basedOn w:val="Normal"/>
    <w:qFormat/>
    <w:rsid w:val="002D3FFE"/>
    <w:pPr>
      <w:numPr>
        <w:numId w:val="5"/>
      </w:numPr>
      <w:spacing w:after="120"/>
      <w:ind w:left="1094" w:hanging="547"/>
      <w:jc w:val="both"/>
    </w:pPr>
    <w:rPr>
      <w:rFonts w:eastAsiaTheme="minorHAnsi" w:cstheme="minorBidi"/>
      <w:lang w:eastAsia="en-US"/>
    </w:rPr>
  </w:style>
  <w:style w:type="paragraph" w:customStyle="1" w:styleId="ListParagraphNumbers">
    <w:name w:val="List Paragraph Numbers"/>
    <w:basedOn w:val="ListParagraph"/>
    <w:link w:val="ListParagraphNumbersChar"/>
    <w:qFormat/>
    <w:rsid w:val="002D3FFE"/>
    <w:pPr>
      <w:numPr>
        <w:numId w:val="6"/>
      </w:numPr>
      <w:spacing w:after="120" w:line="259" w:lineRule="auto"/>
      <w:ind w:left="1080" w:hanging="540"/>
      <w:contextualSpacing w:val="0"/>
      <w:jc w:val="both"/>
    </w:pPr>
    <w:rPr>
      <w:rFonts w:eastAsiaTheme="minorHAnsi" w:cstheme="minorBidi"/>
      <w:color w:val="000000" w:themeColor="text1"/>
      <w:lang w:eastAsia="en-US"/>
    </w:rPr>
  </w:style>
  <w:style w:type="character" w:customStyle="1" w:styleId="ListParagraphNumbersChar">
    <w:name w:val="List Paragraph Numbers Char"/>
    <w:basedOn w:val="DefaultParagraphFont"/>
    <w:link w:val="ListParagraphNumbers"/>
    <w:rsid w:val="002D3FFE"/>
    <w:rPr>
      <w:rFonts w:ascii="Museo Sans 300" w:hAnsi="Museo Sans 300"/>
      <w:color w:val="000000" w:themeColor="text1"/>
      <w:sz w:val="20"/>
      <w:szCs w:val="20"/>
    </w:rPr>
  </w:style>
  <w:style w:type="table" w:customStyle="1" w:styleId="TableGrid0">
    <w:name w:val="TableGrid"/>
    <w:rsid w:val="002D3FF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Dot pt Char,Bullet point list Char,List Paragraph1 Char,Bullet 1 Char,List Paragraph Char Char Char,b1 Char,Normal Sentence Char,Number_1 Char,List Paragraph11 Char,List Paragraph2 Char,new Char,SGLText List Paragraph Char,lp1 Char"/>
    <w:basedOn w:val="DefaultParagraphFont"/>
    <w:link w:val="ListParagraph"/>
    <w:uiPriority w:val="34"/>
    <w:locked/>
    <w:rsid w:val="002D3FFE"/>
    <w:rPr>
      <w:rFonts w:ascii="Museo Sans 300" w:eastAsia="Calibri" w:hAnsi="Museo Sans 300" w:cs="Times New Roman"/>
      <w:sz w:val="20"/>
      <w:szCs w:val="20"/>
      <w:lang w:eastAsia="en-GB"/>
    </w:rPr>
  </w:style>
  <w:style w:type="character" w:styleId="UnresolvedMention">
    <w:name w:val="Unresolved Mention"/>
    <w:basedOn w:val="DefaultParagraphFont"/>
    <w:uiPriority w:val="99"/>
    <w:semiHidden/>
    <w:unhideWhenUsed/>
    <w:rsid w:val="002D3FFE"/>
    <w:rPr>
      <w:color w:val="605E5C"/>
      <w:shd w:val="clear" w:color="auto" w:fill="E1DFDD"/>
    </w:rPr>
  </w:style>
  <w:style w:type="paragraph" w:styleId="FootnoteText">
    <w:name w:val="footnote text"/>
    <w:basedOn w:val="Normal"/>
    <w:link w:val="FootnoteTextChar"/>
    <w:uiPriority w:val="99"/>
    <w:unhideWhenUsed/>
    <w:rsid w:val="002D3FFE"/>
    <w:pPr>
      <w:keepLines/>
      <w:jc w:val="both"/>
    </w:pPr>
    <w:rPr>
      <w:rFonts w:eastAsiaTheme="minorHAnsi" w:cstheme="minorBidi"/>
      <w:lang w:eastAsia="en-US"/>
    </w:rPr>
  </w:style>
  <w:style w:type="character" w:customStyle="1" w:styleId="FootnoteTextChar">
    <w:name w:val="Footnote Text Char"/>
    <w:basedOn w:val="DefaultParagraphFont"/>
    <w:link w:val="FootnoteText"/>
    <w:uiPriority w:val="99"/>
    <w:rsid w:val="002D3FFE"/>
    <w:rPr>
      <w:rFonts w:ascii="Museo Sans 300" w:hAnsi="Museo Sans 300"/>
      <w:sz w:val="20"/>
      <w:szCs w:val="20"/>
    </w:rPr>
  </w:style>
  <w:style w:type="character" w:styleId="FootnoteReference">
    <w:name w:val="footnote reference"/>
    <w:basedOn w:val="DefaultParagraphFont"/>
    <w:uiPriority w:val="99"/>
    <w:semiHidden/>
    <w:unhideWhenUsed/>
    <w:rsid w:val="002D3FFE"/>
    <w:rPr>
      <w:vertAlign w:val="superscript"/>
    </w:rPr>
  </w:style>
  <w:style w:type="paragraph" w:customStyle="1" w:styleId="BodyText">
    <w:name w:val="BodyText"/>
    <w:basedOn w:val="Normal"/>
    <w:link w:val="BodyTextChar"/>
    <w:qFormat/>
    <w:rsid w:val="002D3FFE"/>
    <w:pPr>
      <w:spacing w:before="60" w:after="120"/>
    </w:pPr>
    <w:rPr>
      <w:rFonts w:ascii="Arial" w:eastAsia="Times New Roman" w:hAnsi="Arial" w:cs="Arial"/>
      <w:bCs/>
      <w:lang w:val="en-US" w:eastAsia="de-DE"/>
    </w:rPr>
  </w:style>
  <w:style w:type="character" w:customStyle="1" w:styleId="BodyTextChar">
    <w:name w:val="BodyText Char"/>
    <w:basedOn w:val="DefaultParagraphFont"/>
    <w:link w:val="BodyText"/>
    <w:rsid w:val="002D3FFE"/>
    <w:rPr>
      <w:rFonts w:ascii="Arial" w:eastAsia="Times New Roman" w:hAnsi="Arial" w:cs="Arial"/>
      <w:bCs/>
      <w:sz w:val="20"/>
      <w:szCs w:val="20"/>
      <w:lang w:val="en-US" w:eastAsia="de-DE"/>
    </w:rPr>
  </w:style>
  <w:style w:type="character" w:styleId="PlaceholderText">
    <w:name w:val="Placeholder Text"/>
    <w:basedOn w:val="DefaultParagraphFont"/>
    <w:uiPriority w:val="99"/>
    <w:semiHidden/>
    <w:rsid w:val="002D3FFE"/>
    <w:rPr>
      <w:color w:val="808080"/>
    </w:rPr>
  </w:style>
  <w:style w:type="paragraph" w:customStyle="1" w:styleId="ListParagraph2">
    <w:name w:val="List Paragraph 2"/>
    <w:basedOn w:val="ListParagraph"/>
    <w:autoRedefine/>
    <w:qFormat/>
    <w:rsid w:val="00867D5F"/>
    <w:pPr>
      <w:keepLines/>
      <w:tabs>
        <w:tab w:val="left" w:pos="720"/>
      </w:tabs>
      <w:spacing w:line="276" w:lineRule="auto"/>
      <w:ind w:left="360"/>
      <w:contextualSpacing w:val="0"/>
      <w:jc w:val="both"/>
    </w:pPr>
    <w:rPr>
      <w:rFonts w:ascii="Museo Sans 100" w:eastAsiaTheme="minorHAnsi" w:hAnsi="Museo Sans 100" w:cstheme="minorBidi"/>
      <w:color w:val="000000" w:themeColor="text1"/>
      <w:lang w:eastAsia="en-US"/>
    </w:rPr>
  </w:style>
  <w:style w:type="table" w:styleId="ListTable3-Accent5">
    <w:name w:val="List Table 3 Accent 5"/>
    <w:basedOn w:val="TableNormal"/>
    <w:uiPriority w:val="48"/>
    <w:rsid w:val="002D3FFE"/>
    <w:pPr>
      <w:spacing w:after="0" w:line="240" w:lineRule="auto"/>
    </w:p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PlainText">
    <w:name w:val="Plain Text"/>
    <w:basedOn w:val="Normal"/>
    <w:link w:val="PlainTextChar"/>
    <w:uiPriority w:val="99"/>
    <w:unhideWhenUsed/>
    <w:rsid w:val="002D3FFE"/>
    <w:rPr>
      <w:rFonts w:ascii="Arial" w:eastAsiaTheme="minorHAnsi" w:hAnsi="Arial" w:cstheme="minorBidi"/>
      <w:szCs w:val="21"/>
      <w:lang w:val="en-US" w:eastAsia="en-US"/>
    </w:rPr>
  </w:style>
  <w:style w:type="character" w:customStyle="1" w:styleId="PlainTextChar">
    <w:name w:val="Plain Text Char"/>
    <w:basedOn w:val="DefaultParagraphFont"/>
    <w:link w:val="PlainText"/>
    <w:uiPriority w:val="99"/>
    <w:rsid w:val="002D3FFE"/>
    <w:rPr>
      <w:rFonts w:ascii="Arial" w:hAnsi="Arial"/>
      <w:sz w:val="20"/>
      <w:szCs w:val="21"/>
      <w:lang w:val="en-US"/>
    </w:rPr>
  </w:style>
  <w:style w:type="numbering" w:customStyle="1" w:styleId="Style1">
    <w:name w:val="Style1"/>
    <w:uiPriority w:val="99"/>
    <w:rsid w:val="002D3FFE"/>
    <w:pPr>
      <w:numPr>
        <w:numId w:val="17"/>
      </w:numPr>
    </w:pPr>
  </w:style>
  <w:style w:type="numbering" w:customStyle="1" w:styleId="Style2">
    <w:name w:val="Style2"/>
    <w:uiPriority w:val="99"/>
    <w:rsid w:val="002D3FFE"/>
    <w:pPr>
      <w:numPr>
        <w:numId w:val="18"/>
      </w:numPr>
    </w:pPr>
  </w:style>
  <w:style w:type="character" w:styleId="FollowedHyperlink">
    <w:name w:val="FollowedHyperlink"/>
    <w:basedOn w:val="DefaultParagraphFont"/>
    <w:uiPriority w:val="99"/>
    <w:semiHidden/>
    <w:unhideWhenUsed/>
    <w:rsid w:val="002D3FFE"/>
    <w:rPr>
      <w:color w:val="954F72" w:themeColor="followedHyperlink"/>
      <w:u w:val="single"/>
    </w:rPr>
  </w:style>
  <w:style w:type="paragraph" w:styleId="ListBullet4">
    <w:name w:val="List Bullet 4"/>
    <w:basedOn w:val="Normal"/>
    <w:uiPriority w:val="99"/>
    <w:semiHidden/>
    <w:unhideWhenUsed/>
    <w:rsid w:val="002070D1"/>
    <w:pPr>
      <w:numPr>
        <w:numId w:val="44"/>
      </w:numPr>
      <w:spacing w:after="160" w:line="259"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bank.co.uk/about-us/annualresults/" TargetMode="External"/><Relationship Id="rId18" Type="http://schemas.openxmlformats.org/officeDocument/2006/relationships/hyperlink" Target="https://ccbank.co.uk/about-us/career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cbank.co.uk/about-us/annualresults/" TargetMode="External"/><Relationship Id="rId17" Type="http://schemas.openxmlformats.org/officeDocument/2006/relationships/image" Target="media/image2.jpg"/><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ccbank.co.uk" TargetMode="External"/><Relationship Id="rId23" Type="http://schemas.microsoft.com/office/2007/relationships/diagramDrawing" Target="diagrams/drawing1.xml"/><Relationship Id="rId28"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ccbank.co.uk" TargetMode="External"/><Relationship Id="rId22" Type="http://schemas.openxmlformats.org/officeDocument/2006/relationships/diagramColors" Target="diagrams/colors1.xml"/><Relationship Id="rId27" Type="http://schemas.openxmlformats.org/officeDocument/2006/relationships/image" Target="media/image6.png"/><Relationship Id="rId30" Type="http://schemas.openxmlformats.org/officeDocument/2006/relationships/image" Target="media/image9.png"/><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4B472-3BE9-4AB5-BEA0-C36632FA7DF7}"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GB"/>
        </a:p>
      </dgm:t>
    </dgm:pt>
    <dgm:pt modelId="{62A4D022-1F58-4BAE-9BB4-6C8C8B035B93}">
      <dgm:prSet phldrT="[Text]" custT="1"/>
      <dgm:spPr>
        <a:solidFill>
          <a:schemeClr val="accent1">
            <a:lumMod val="40000"/>
            <a:lumOff val="60000"/>
          </a:schemeClr>
        </a:solidFill>
        <a:ln>
          <a:solidFill>
            <a:schemeClr val="accent1">
              <a:lumMod val="40000"/>
              <a:lumOff val="60000"/>
            </a:schemeClr>
          </a:solidFill>
        </a:ln>
      </dgm:spPr>
      <dgm:t>
        <a:bodyPr/>
        <a:lstStyle/>
        <a:p>
          <a:r>
            <a:rPr lang="en-GB" sz="1000" b="1">
              <a:solidFill>
                <a:sysClr val="windowText" lastClr="000000"/>
              </a:solidFill>
            </a:rPr>
            <a:t>First line of Defence</a:t>
          </a:r>
        </a:p>
      </dgm:t>
    </dgm:pt>
    <dgm:pt modelId="{9D382165-CD27-499C-AD11-EEB15657044A}" type="parTrans" cxnId="{92E671B3-C5B2-49CD-99F6-B62019C9D92C}">
      <dgm:prSet/>
      <dgm:spPr/>
      <dgm:t>
        <a:bodyPr/>
        <a:lstStyle/>
        <a:p>
          <a:endParaRPr lang="en-GB"/>
        </a:p>
      </dgm:t>
    </dgm:pt>
    <dgm:pt modelId="{928D0DE8-6DA3-4FE7-8CC0-A7CCCB169AA0}" type="sibTrans" cxnId="{92E671B3-C5B2-49CD-99F6-B62019C9D92C}">
      <dgm:prSet/>
      <dgm:spPr/>
      <dgm:t>
        <a:bodyPr/>
        <a:lstStyle/>
        <a:p>
          <a:endParaRPr lang="en-GB"/>
        </a:p>
      </dgm:t>
    </dgm:pt>
    <dgm:pt modelId="{A163D9B9-38BF-42DD-8AF9-6C5C81CB3FB2}">
      <dgm:prSet phldrT="[Text]" custT="1"/>
      <dgm:spPr/>
      <dgm:t>
        <a:bodyPr/>
        <a:lstStyle/>
        <a:p>
          <a:r>
            <a:rPr lang="en-GB" sz="1000" b="1"/>
            <a:t> Responsibility: Chief Executive Officer (CEO)</a:t>
          </a:r>
        </a:p>
      </dgm:t>
    </dgm:pt>
    <dgm:pt modelId="{E75468E9-3617-410D-85EA-91A8EF997058}" type="parTrans" cxnId="{7975BFDA-2852-4431-BFFE-E87C095FE975}">
      <dgm:prSet/>
      <dgm:spPr/>
      <dgm:t>
        <a:bodyPr/>
        <a:lstStyle/>
        <a:p>
          <a:endParaRPr lang="en-GB"/>
        </a:p>
      </dgm:t>
    </dgm:pt>
    <dgm:pt modelId="{8856A437-AE02-4DF8-A2D2-0B6547B8ABF1}" type="sibTrans" cxnId="{7975BFDA-2852-4431-BFFE-E87C095FE975}">
      <dgm:prSet/>
      <dgm:spPr/>
      <dgm:t>
        <a:bodyPr/>
        <a:lstStyle/>
        <a:p>
          <a:endParaRPr lang="en-GB"/>
        </a:p>
      </dgm:t>
    </dgm:pt>
    <dgm:pt modelId="{2C08B6D5-AC90-4B0F-A1C8-95CBA7114296}">
      <dgm:prSet phldrT="[Text]" custT="1"/>
      <dgm:spPr/>
      <dgm:t>
        <a:bodyPr/>
        <a:lstStyle/>
        <a:p>
          <a:pPr algn="just"/>
          <a:endParaRPr lang="en-GB" sz="900"/>
        </a:p>
      </dgm:t>
    </dgm:pt>
    <dgm:pt modelId="{FEBAE85F-11F2-4B8E-A9E1-5DB19E9CB1D0}" type="parTrans" cxnId="{DF8D52D6-A68D-4FC3-94FD-9A07BD525066}">
      <dgm:prSet/>
      <dgm:spPr/>
      <dgm:t>
        <a:bodyPr/>
        <a:lstStyle/>
        <a:p>
          <a:endParaRPr lang="en-GB"/>
        </a:p>
      </dgm:t>
    </dgm:pt>
    <dgm:pt modelId="{5D0F550D-28EA-4E12-95D9-CE546637974E}" type="sibTrans" cxnId="{DF8D52D6-A68D-4FC3-94FD-9A07BD525066}">
      <dgm:prSet/>
      <dgm:spPr/>
      <dgm:t>
        <a:bodyPr/>
        <a:lstStyle/>
        <a:p>
          <a:endParaRPr lang="en-GB"/>
        </a:p>
      </dgm:t>
    </dgm:pt>
    <dgm:pt modelId="{063ACC51-3B62-42D9-BD13-0BB6006795AD}">
      <dgm:prSet phldrT="[Text]" custT="1"/>
      <dgm:spPr>
        <a:solidFill>
          <a:schemeClr val="accent1">
            <a:lumMod val="40000"/>
            <a:lumOff val="60000"/>
          </a:schemeClr>
        </a:solidFill>
        <a:ln>
          <a:solidFill>
            <a:schemeClr val="accent1">
              <a:lumMod val="40000"/>
              <a:lumOff val="60000"/>
            </a:schemeClr>
          </a:solidFill>
        </a:ln>
      </dgm:spPr>
      <dgm:t>
        <a:bodyPr/>
        <a:lstStyle/>
        <a:p>
          <a:r>
            <a:rPr lang="en-GB" sz="1000" b="1">
              <a:solidFill>
                <a:sysClr val="windowText" lastClr="000000"/>
              </a:solidFill>
            </a:rPr>
            <a:t>Second line of Defence</a:t>
          </a:r>
        </a:p>
      </dgm:t>
    </dgm:pt>
    <dgm:pt modelId="{D5574DFE-9F94-4EB4-83F7-5F9D16526122}" type="parTrans" cxnId="{55F8884B-5E7B-49B6-9A8D-3C11FA557A05}">
      <dgm:prSet/>
      <dgm:spPr/>
      <dgm:t>
        <a:bodyPr/>
        <a:lstStyle/>
        <a:p>
          <a:endParaRPr lang="en-GB"/>
        </a:p>
      </dgm:t>
    </dgm:pt>
    <dgm:pt modelId="{A96666DF-1398-4B90-929A-51C775F19F71}" type="sibTrans" cxnId="{55F8884B-5E7B-49B6-9A8D-3C11FA557A05}">
      <dgm:prSet/>
      <dgm:spPr/>
      <dgm:t>
        <a:bodyPr/>
        <a:lstStyle/>
        <a:p>
          <a:endParaRPr lang="en-GB"/>
        </a:p>
      </dgm:t>
    </dgm:pt>
    <dgm:pt modelId="{678316A7-EC5C-4539-86BC-82ED0B1949E1}">
      <dgm:prSet phldrT="[Text]" custT="1"/>
      <dgm:spPr/>
      <dgm:t>
        <a:bodyPr/>
        <a:lstStyle/>
        <a:p>
          <a:r>
            <a:rPr lang="en-GB" sz="1000" b="1"/>
            <a:t>  Responsibility: Chief Risk Officer (CRO)</a:t>
          </a:r>
        </a:p>
      </dgm:t>
    </dgm:pt>
    <dgm:pt modelId="{3C2B717A-4A96-440A-9E6B-05FDFFAB2EF0}" type="parTrans" cxnId="{D221895E-2DFF-478B-84C9-4C21352D7E37}">
      <dgm:prSet/>
      <dgm:spPr/>
      <dgm:t>
        <a:bodyPr/>
        <a:lstStyle/>
        <a:p>
          <a:endParaRPr lang="en-GB"/>
        </a:p>
      </dgm:t>
    </dgm:pt>
    <dgm:pt modelId="{33E6AA64-B10E-4623-B094-DA0304A88D0D}" type="sibTrans" cxnId="{D221895E-2DFF-478B-84C9-4C21352D7E37}">
      <dgm:prSet/>
      <dgm:spPr/>
      <dgm:t>
        <a:bodyPr/>
        <a:lstStyle/>
        <a:p>
          <a:endParaRPr lang="en-GB"/>
        </a:p>
      </dgm:t>
    </dgm:pt>
    <dgm:pt modelId="{DFE6118F-0C8F-4DFF-BA67-871F07351B9A}">
      <dgm:prSet phldrT="[Text]" custT="1"/>
      <dgm:spPr/>
      <dgm:t>
        <a:bodyPr/>
        <a:lstStyle/>
        <a:p>
          <a:pPr algn="just"/>
          <a:r>
            <a:rPr lang="en-GB" sz="1000">
              <a:latin typeface="Museo Sans 300" panose="02000000000000000000" pitchFamily="2" charset="0"/>
            </a:rPr>
            <a:t> The CRO is independently responsible for managing, designing, and continually updating the Enterprise Risk Management Framework and risk assessment and evaluation tools and systems, providing training, review, and challenge to the first line.</a:t>
          </a:r>
        </a:p>
      </dgm:t>
    </dgm:pt>
    <dgm:pt modelId="{1CCAC3D2-B4A1-4890-8452-5C05776B66CE}" type="parTrans" cxnId="{2E5AEE46-AF6F-47EC-AD73-6863AFCAAF58}">
      <dgm:prSet/>
      <dgm:spPr/>
      <dgm:t>
        <a:bodyPr/>
        <a:lstStyle/>
        <a:p>
          <a:endParaRPr lang="en-GB"/>
        </a:p>
      </dgm:t>
    </dgm:pt>
    <dgm:pt modelId="{B2AFF426-A6E1-4D7C-8760-55B08CAEEAB4}" type="sibTrans" cxnId="{2E5AEE46-AF6F-47EC-AD73-6863AFCAAF58}">
      <dgm:prSet/>
      <dgm:spPr/>
      <dgm:t>
        <a:bodyPr/>
        <a:lstStyle/>
        <a:p>
          <a:endParaRPr lang="en-GB"/>
        </a:p>
      </dgm:t>
    </dgm:pt>
    <dgm:pt modelId="{9B3A4D18-1883-4742-85C7-D8A8F05CB041}">
      <dgm:prSet phldrT="[Text]" custT="1"/>
      <dgm:spPr>
        <a:solidFill>
          <a:schemeClr val="accent1">
            <a:lumMod val="40000"/>
            <a:lumOff val="60000"/>
          </a:schemeClr>
        </a:solidFill>
        <a:ln>
          <a:solidFill>
            <a:schemeClr val="accent1">
              <a:lumMod val="40000"/>
              <a:lumOff val="60000"/>
            </a:schemeClr>
          </a:solidFill>
        </a:ln>
      </dgm:spPr>
      <dgm:t>
        <a:bodyPr/>
        <a:lstStyle/>
        <a:p>
          <a:r>
            <a:rPr lang="en-GB" sz="1000" b="1">
              <a:solidFill>
                <a:sysClr val="windowText" lastClr="000000"/>
              </a:solidFill>
            </a:rPr>
            <a:t>Third line of Defence</a:t>
          </a:r>
        </a:p>
      </dgm:t>
    </dgm:pt>
    <dgm:pt modelId="{B4A22890-3D48-4873-9C02-028C9D05B8D9}" type="parTrans" cxnId="{800029E1-8606-4227-B31E-CD49F7144E95}">
      <dgm:prSet/>
      <dgm:spPr/>
      <dgm:t>
        <a:bodyPr/>
        <a:lstStyle/>
        <a:p>
          <a:endParaRPr lang="en-GB"/>
        </a:p>
      </dgm:t>
    </dgm:pt>
    <dgm:pt modelId="{194E8EAA-2DB5-4E07-A8AA-3EE3AE91BA21}" type="sibTrans" cxnId="{800029E1-8606-4227-B31E-CD49F7144E95}">
      <dgm:prSet/>
      <dgm:spPr/>
      <dgm:t>
        <a:bodyPr/>
        <a:lstStyle/>
        <a:p>
          <a:endParaRPr lang="en-GB"/>
        </a:p>
      </dgm:t>
    </dgm:pt>
    <dgm:pt modelId="{DAFCFA55-F094-45F2-A4DD-FC9E5AB70CF6}">
      <dgm:prSet phldrT="[Text]" custT="1"/>
      <dgm:spPr/>
      <dgm:t>
        <a:bodyPr/>
        <a:lstStyle/>
        <a:p>
          <a:r>
            <a:rPr lang="en-GB" sz="1000" b="1"/>
            <a:t>  Responsibility: Internal audit - outsourced to Deloitte</a:t>
          </a:r>
        </a:p>
      </dgm:t>
    </dgm:pt>
    <dgm:pt modelId="{3095E375-4FDC-41CD-8237-C2BED4D96AE4}" type="parTrans" cxnId="{1C6012B0-B702-4DE0-880D-5C1D225B0425}">
      <dgm:prSet/>
      <dgm:spPr/>
      <dgm:t>
        <a:bodyPr/>
        <a:lstStyle/>
        <a:p>
          <a:endParaRPr lang="en-GB"/>
        </a:p>
      </dgm:t>
    </dgm:pt>
    <dgm:pt modelId="{C333C5AE-5AB5-4DBE-A0D0-3FFA55C64482}" type="sibTrans" cxnId="{1C6012B0-B702-4DE0-880D-5C1D225B0425}">
      <dgm:prSet/>
      <dgm:spPr/>
      <dgm:t>
        <a:bodyPr/>
        <a:lstStyle/>
        <a:p>
          <a:endParaRPr lang="en-GB"/>
        </a:p>
      </dgm:t>
    </dgm:pt>
    <dgm:pt modelId="{31B5C4A5-ED7E-44E3-ADC2-A2277AAD4BB9}">
      <dgm:prSet phldrT="[Text]" custT="1"/>
      <dgm:spPr/>
      <dgm:t>
        <a:bodyPr/>
        <a:lstStyle/>
        <a:p>
          <a:pPr algn="just"/>
          <a:endParaRPr lang="en-GB" sz="1000">
            <a:latin typeface="Museo Sans 300" panose="02000000000000000000" pitchFamily="2" charset="0"/>
          </a:endParaRPr>
        </a:p>
      </dgm:t>
    </dgm:pt>
    <dgm:pt modelId="{DD7BDE9D-FE61-4B84-973B-99D73DBDCF59}" type="parTrans" cxnId="{4F94B365-6661-4604-B95E-7A00E06B5461}">
      <dgm:prSet/>
      <dgm:spPr/>
      <dgm:t>
        <a:bodyPr/>
        <a:lstStyle/>
        <a:p>
          <a:endParaRPr lang="en-GB"/>
        </a:p>
      </dgm:t>
    </dgm:pt>
    <dgm:pt modelId="{12A04A7B-358D-4BAF-9B3D-F5F2CF7A47FB}" type="sibTrans" cxnId="{4F94B365-6661-4604-B95E-7A00E06B5461}">
      <dgm:prSet/>
      <dgm:spPr/>
      <dgm:t>
        <a:bodyPr/>
        <a:lstStyle/>
        <a:p>
          <a:endParaRPr lang="en-GB"/>
        </a:p>
      </dgm:t>
    </dgm:pt>
    <dgm:pt modelId="{2DCC1668-1EAA-4A92-BA6B-2F547126168D}">
      <dgm:prSet phldrT="[Text]" custT="1"/>
      <dgm:spPr/>
      <dgm:t>
        <a:bodyPr/>
        <a:lstStyle/>
        <a:p>
          <a:pPr algn="just"/>
          <a:r>
            <a:rPr lang="en-GB" sz="1000">
              <a:latin typeface="Museo Sans 300" panose="02000000000000000000" pitchFamily="2" charset="0"/>
            </a:rPr>
            <a:t> Under the supervision of the Chief Risk Officer and Chief Financial Officer, reporting to the Bank’s Audit Committee</a:t>
          </a:r>
          <a:r>
            <a:rPr lang="en-GB" sz="900"/>
            <a:t>. </a:t>
          </a:r>
        </a:p>
      </dgm:t>
    </dgm:pt>
    <dgm:pt modelId="{5840E1B3-215C-4DCC-8489-2552FB20585A}" type="parTrans" cxnId="{9332D56D-7046-4212-8407-BA2671922D10}">
      <dgm:prSet/>
      <dgm:spPr/>
      <dgm:t>
        <a:bodyPr/>
        <a:lstStyle/>
        <a:p>
          <a:endParaRPr lang="en-GB"/>
        </a:p>
      </dgm:t>
    </dgm:pt>
    <dgm:pt modelId="{40D34AD6-6E96-4DEF-BFED-1932D4FA9EB3}" type="sibTrans" cxnId="{9332D56D-7046-4212-8407-BA2671922D10}">
      <dgm:prSet/>
      <dgm:spPr/>
      <dgm:t>
        <a:bodyPr/>
        <a:lstStyle/>
        <a:p>
          <a:endParaRPr lang="en-GB"/>
        </a:p>
      </dgm:t>
    </dgm:pt>
    <dgm:pt modelId="{22A87D21-A54A-4B74-9A5F-912237768BB3}">
      <dgm:prSet phldrT="[Text]" custT="1"/>
      <dgm:spPr/>
      <dgm:t>
        <a:bodyPr/>
        <a:lstStyle/>
        <a:p>
          <a:pPr algn="just"/>
          <a:r>
            <a:rPr lang="en-GB" sz="900"/>
            <a:t> </a:t>
          </a:r>
          <a:r>
            <a:rPr lang="en-GB" sz="1000">
              <a:latin typeface="Museo Sans 300" panose="02000000000000000000" pitchFamily="2" charset="0"/>
            </a:rPr>
            <a:t>A key role of second line is to provide an independent view to management and the Board of the risks within the Bank.</a:t>
          </a:r>
        </a:p>
      </dgm:t>
    </dgm:pt>
    <dgm:pt modelId="{81B79BE4-D17A-4256-95B6-6F4BE2E32B39}" type="parTrans" cxnId="{6620FEEB-9E18-4C62-A7A8-1F2F614A0358}">
      <dgm:prSet/>
      <dgm:spPr/>
      <dgm:t>
        <a:bodyPr/>
        <a:lstStyle/>
        <a:p>
          <a:endParaRPr lang="en-GB"/>
        </a:p>
      </dgm:t>
    </dgm:pt>
    <dgm:pt modelId="{CE56DC6A-CD44-40D3-875B-6D86B7ED811B}" type="sibTrans" cxnId="{6620FEEB-9E18-4C62-A7A8-1F2F614A0358}">
      <dgm:prSet/>
      <dgm:spPr/>
      <dgm:t>
        <a:bodyPr/>
        <a:lstStyle/>
        <a:p>
          <a:endParaRPr lang="en-GB"/>
        </a:p>
      </dgm:t>
    </dgm:pt>
    <dgm:pt modelId="{6488AD71-2323-4634-8275-3077F75174D9}">
      <dgm:prSet phldrT="[Text]" custT="1"/>
      <dgm:spPr/>
      <dgm:t>
        <a:bodyPr/>
        <a:lstStyle/>
        <a:p>
          <a:pPr algn="just"/>
          <a:r>
            <a:rPr lang="en-GB" sz="1000">
              <a:latin typeface="Museo Sans 300" panose="02000000000000000000" pitchFamily="2" charset="0"/>
            </a:rPr>
            <a:t> Internal Audit is responsible for providing independent assurance that the Enterprise Risk Management Framework, including its operation by the first and second lines, is operating effectively.</a:t>
          </a:r>
        </a:p>
      </dgm:t>
    </dgm:pt>
    <dgm:pt modelId="{6AC778E3-269C-4EF8-817C-F85F531D1930}" type="parTrans" cxnId="{5430C036-BC7F-4155-9EC1-E799E996D3C8}">
      <dgm:prSet/>
      <dgm:spPr/>
      <dgm:t>
        <a:bodyPr/>
        <a:lstStyle/>
        <a:p>
          <a:endParaRPr lang="en-GB"/>
        </a:p>
      </dgm:t>
    </dgm:pt>
    <dgm:pt modelId="{4979111E-7DA5-438E-95FE-F424E447D662}" type="sibTrans" cxnId="{5430C036-BC7F-4155-9EC1-E799E996D3C8}">
      <dgm:prSet/>
      <dgm:spPr/>
      <dgm:t>
        <a:bodyPr/>
        <a:lstStyle/>
        <a:p>
          <a:endParaRPr lang="en-GB"/>
        </a:p>
      </dgm:t>
    </dgm:pt>
    <dgm:pt modelId="{A9265453-9347-4C2C-B59B-D51B538DE6B7}">
      <dgm:prSet phldrT="[Text]" custT="1"/>
      <dgm:spPr/>
      <dgm:t>
        <a:bodyPr/>
        <a:lstStyle/>
        <a:p>
          <a:pPr algn="just"/>
          <a:r>
            <a:rPr lang="en-GB" sz="1000">
              <a:latin typeface="Museo Sans 300" panose="02000000000000000000" pitchFamily="2" charset="0"/>
            </a:rPr>
            <a:t>The first line risk function undertakes an active role in maintaining and improving internal control frameworks, remediating weaknesses in operational processes, and supporting business areas in the implementation of the Bank’s key risk management processes.</a:t>
          </a:r>
        </a:p>
      </dgm:t>
    </dgm:pt>
    <dgm:pt modelId="{7B102F15-7AAD-49AD-BD01-728028A0B552}" type="parTrans" cxnId="{2F505F5E-F1BC-4F84-8133-E30F78636832}">
      <dgm:prSet/>
      <dgm:spPr/>
      <dgm:t>
        <a:bodyPr/>
        <a:lstStyle/>
        <a:p>
          <a:endParaRPr lang="en-GB"/>
        </a:p>
      </dgm:t>
    </dgm:pt>
    <dgm:pt modelId="{77B47E52-100B-4B04-993B-05C0695AA958}" type="sibTrans" cxnId="{2F505F5E-F1BC-4F84-8133-E30F78636832}">
      <dgm:prSet/>
      <dgm:spPr/>
      <dgm:t>
        <a:bodyPr/>
        <a:lstStyle/>
        <a:p>
          <a:endParaRPr lang="en-GB"/>
        </a:p>
      </dgm:t>
    </dgm:pt>
    <dgm:pt modelId="{E86F8857-F1E0-4359-A6D5-0D833F1CCF0D}">
      <dgm:prSet phldrT="[Text]" custT="1"/>
      <dgm:spPr/>
      <dgm:t>
        <a:bodyPr/>
        <a:lstStyle/>
        <a:p>
          <a:pPr algn="just"/>
          <a:endParaRPr lang="en-GB" sz="900"/>
        </a:p>
      </dgm:t>
    </dgm:pt>
    <dgm:pt modelId="{111873A1-85E6-4EC5-8813-C76F19C338EA}" type="parTrans" cxnId="{448127E4-A02A-4A06-8622-11AD06C09E32}">
      <dgm:prSet/>
      <dgm:spPr/>
      <dgm:t>
        <a:bodyPr/>
        <a:lstStyle/>
        <a:p>
          <a:endParaRPr lang="en-GB"/>
        </a:p>
      </dgm:t>
    </dgm:pt>
    <dgm:pt modelId="{26CA990D-2FE0-45B6-AF3A-BA5500DD1523}" type="sibTrans" cxnId="{448127E4-A02A-4A06-8622-11AD06C09E32}">
      <dgm:prSet/>
      <dgm:spPr/>
      <dgm:t>
        <a:bodyPr/>
        <a:lstStyle/>
        <a:p>
          <a:endParaRPr lang="en-GB"/>
        </a:p>
      </dgm:t>
    </dgm:pt>
    <dgm:pt modelId="{44C4C4D0-CCC7-4234-89CA-5248F9A09431}">
      <dgm:prSet phldrT="[Text]" custT="1"/>
      <dgm:spPr/>
      <dgm:t>
        <a:bodyPr/>
        <a:lstStyle/>
        <a:p>
          <a:pPr algn="just"/>
          <a:endParaRPr lang="en-GB" sz="1000">
            <a:latin typeface="Museo Sans 300" panose="02000000000000000000" pitchFamily="2" charset="0"/>
          </a:endParaRPr>
        </a:p>
      </dgm:t>
    </dgm:pt>
    <dgm:pt modelId="{3B7FC8E4-09CC-452D-9C4A-F0565FD175AF}" type="sibTrans" cxnId="{AE8DD0CD-E165-4923-9D8F-1B50751B326C}">
      <dgm:prSet/>
      <dgm:spPr/>
      <dgm:t>
        <a:bodyPr/>
        <a:lstStyle/>
        <a:p>
          <a:endParaRPr lang="en-GB"/>
        </a:p>
      </dgm:t>
    </dgm:pt>
    <dgm:pt modelId="{17B7C963-9734-4BFA-A382-256372FB5C01}" type="parTrans" cxnId="{AE8DD0CD-E165-4923-9D8F-1B50751B326C}">
      <dgm:prSet/>
      <dgm:spPr/>
      <dgm:t>
        <a:bodyPr/>
        <a:lstStyle/>
        <a:p>
          <a:endParaRPr lang="en-GB"/>
        </a:p>
      </dgm:t>
    </dgm:pt>
    <dgm:pt modelId="{859EB1A3-47C1-40DC-BE39-1BFD506B3AE0}">
      <dgm:prSet phldrT="[Text]" custT="1"/>
      <dgm:spPr/>
      <dgm:t>
        <a:bodyPr/>
        <a:lstStyle/>
        <a:p>
          <a:pPr algn="just"/>
          <a:r>
            <a:rPr lang="en-GB" sz="1000">
              <a:latin typeface="Museo Sans 300" panose="02000000000000000000" pitchFamily="2" charset="0"/>
            </a:rPr>
            <a:t> The CEO, Executives and their teams are responsible for managing risk on a day-to-day basis, including identification of risks as they emerge, evaluating and reporting them and ensuring that the Bank operates within risk appetite. In support of this, a dedicated first line risk function is in place to provide risk management expertise within an operational setting.</a:t>
          </a:r>
        </a:p>
      </dgm:t>
    </dgm:pt>
    <dgm:pt modelId="{813B4547-4AB0-4C84-B442-F8FAF9C6C5B8}" type="sibTrans" cxnId="{5DE4E16D-19A8-49A1-B4E4-5CAA5D12C60C}">
      <dgm:prSet/>
      <dgm:spPr/>
      <dgm:t>
        <a:bodyPr/>
        <a:lstStyle/>
        <a:p>
          <a:endParaRPr lang="en-GB"/>
        </a:p>
      </dgm:t>
    </dgm:pt>
    <dgm:pt modelId="{759DC4B6-3816-4A93-844B-2897C64AFE42}" type="parTrans" cxnId="{5DE4E16D-19A8-49A1-B4E4-5CAA5D12C60C}">
      <dgm:prSet/>
      <dgm:spPr/>
      <dgm:t>
        <a:bodyPr/>
        <a:lstStyle/>
        <a:p>
          <a:endParaRPr lang="en-GB"/>
        </a:p>
      </dgm:t>
    </dgm:pt>
    <dgm:pt modelId="{DEF4BD4F-4304-4CF4-AD27-D0F9720419DF}">
      <dgm:prSet phldrT="[Text]" custT="1"/>
      <dgm:spPr/>
      <dgm:t>
        <a:bodyPr/>
        <a:lstStyle/>
        <a:p>
          <a:pPr algn="just"/>
          <a:endParaRPr lang="en-GB" sz="1000">
            <a:latin typeface="Museo Sans 300" panose="02000000000000000000" pitchFamily="2" charset="0"/>
          </a:endParaRPr>
        </a:p>
      </dgm:t>
    </dgm:pt>
    <dgm:pt modelId="{771C5E1B-B288-42FC-BBB6-77B65C2EF54E}" type="parTrans" cxnId="{A3E06812-4C25-4006-9478-36DDDE6CBF57}">
      <dgm:prSet/>
      <dgm:spPr/>
      <dgm:t>
        <a:bodyPr/>
        <a:lstStyle/>
        <a:p>
          <a:endParaRPr lang="en-GB"/>
        </a:p>
      </dgm:t>
    </dgm:pt>
    <dgm:pt modelId="{BCE1EB44-8711-4529-8D80-B079B827232F}" type="sibTrans" cxnId="{A3E06812-4C25-4006-9478-36DDDE6CBF57}">
      <dgm:prSet/>
      <dgm:spPr/>
      <dgm:t>
        <a:bodyPr/>
        <a:lstStyle/>
        <a:p>
          <a:endParaRPr lang="en-GB"/>
        </a:p>
      </dgm:t>
    </dgm:pt>
    <dgm:pt modelId="{B1D8C85D-0479-471F-ABC6-F9092C6D5864}">
      <dgm:prSet phldrT="[Text]" custT="1"/>
      <dgm:spPr/>
      <dgm:t>
        <a:bodyPr/>
        <a:lstStyle/>
        <a:p>
          <a:pPr algn="just"/>
          <a:endParaRPr lang="en-GB" sz="1000">
            <a:latin typeface="Museo Sans 300" panose="02000000000000000000" pitchFamily="2" charset="0"/>
          </a:endParaRPr>
        </a:p>
      </dgm:t>
    </dgm:pt>
    <dgm:pt modelId="{3F316C1D-C284-478F-B9EB-342CC0FFCC22}" type="parTrans" cxnId="{912E860C-3E16-4714-82B3-D2CDEFD469A3}">
      <dgm:prSet/>
      <dgm:spPr/>
      <dgm:t>
        <a:bodyPr/>
        <a:lstStyle/>
        <a:p>
          <a:endParaRPr lang="en-GB"/>
        </a:p>
      </dgm:t>
    </dgm:pt>
    <dgm:pt modelId="{97B690DE-F238-495C-BDFC-7372BE90182C}" type="sibTrans" cxnId="{912E860C-3E16-4714-82B3-D2CDEFD469A3}">
      <dgm:prSet/>
      <dgm:spPr/>
      <dgm:t>
        <a:bodyPr/>
        <a:lstStyle/>
        <a:p>
          <a:endParaRPr lang="en-GB"/>
        </a:p>
      </dgm:t>
    </dgm:pt>
    <dgm:pt modelId="{5A758E5D-2454-4710-994D-20F4AFBA13B6}" type="pres">
      <dgm:prSet presAssocID="{3984B472-3BE9-4AB5-BEA0-C36632FA7DF7}" presName="Name0" presStyleCnt="0">
        <dgm:presLayoutVars>
          <dgm:chMax/>
          <dgm:chPref val="3"/>
          <dgm:dir/>
          <dgm:animOne val="branch"/>
          <dgm:animLvl val="lvl"/>
        </dgm:presLayoutVars>
      </dgm:prSet>
      <dgm:spPr/>
    </dgm:pt>
    <dgm:pt modelId="{7E5A2C57-6A90-4583-AE51-65CC00B414EB}" type="pres">
      <dgm:prSet presAssocID="{62A4D022-1F58-4BAE-9BB4-6C8C8B035B93}" presName="composite" presStyleCnt="0"/>
      <dgm:spPr/>
    </dgm:pt>
    <dgm:pt modelId="{72A1EED3-2E47-4F22-B7A2-3E42028ED86F}" type="pres">
      <dgm:prSet presAssocID="{62A4D022-1F58-4BAE-9BB4-6C8C8B035B93}" presName="FirstChild" presStyleLbl="revTx" presStyleIdx="0" presStyleCnt="6">
        <dgm:presLayoutVars>
          <dgm:chMax val="0"/>
          <dgm:chPref val="0"/>
          <dgm:bulletEnabled val="1"/>
        </dgm:presLayoutVars>
      </dgm:prSet>
      <dgm:spPr/>
    </dgm:pt>
    <dgm:pt modelId="{7C8EA884-C05D-4482-B4A9-2F488A7562E0}" type="pres">
      <dgm:prSet presAssocID="{62A4D022-1F58-4BAE-9BB4-6C8C8B035B93}" presName="Parent" presStyleLbl="alignNode1" presStyleIdx="0" presStyleCnt="3" custScaleY="66718" custLinFactNeighborX="562" custLinFactNeighborY="18392">
        <dgm:presLayoutVars>
          <dgm:chMax val="3"/>
          <dgm:chPref val="3"/>
          <dgm:bulletEnabled val="1"/>
        </dgm:presLayoutVars>
      </dgm:prSet>
      <dgm:spPr/>
    </dgm:pt>
    <dgm:pt modelId="{89EB8578-94F1-428B-A51B-71A085E4169A}" type="pres">
      <dgm:prSet presAssocID="{62A4D022-1F58-4BAE-9BB4-6C8C8B035B93}" presName="Accent" presStyleLbl="parChTrans1D1" presStyleIdx="0" presStyleCnt="3"/>
      <dgm:spPr/>
    </dgm:pt>
    <dgm:pt modelId="{C32CF044-A2AA-4AA1-888D-4EF5CD99D909}" type="pres">
      <dgm:prSet presAssocID="{62A4D022-1F58-4BAE-9BB4-6C8C8B035B93}" presName="Child" presStyleLbl="revTx" presStyleIdx="1" presStyleCnt="6" custScaleY="213598">
        <dgm:presLayoutVars>
          <dgm:chMax val="0"/>
          <dgm:chPref val="0"/>
          <dgm:bulletEnabled val="1"/>
        </dgm:presLayoutVars>
      </dgm:prSet>
      <dgm:spPr/>
    </dgm:pt>
    <dgm:pt modelId="{A2E14A16-E074-4657-9C8C-466305B86FCD}" type="pres">
      <dgm:prSet presAssocID="{928D0DE8-6DA3-4FE7-8CC0-A7CCCB169AA0}" presName="sibTrans" presStyleCnt="0"/>
      <dgm:spPr/>
    </dgm:pt>
    <dgm:pt modelId="{0DD23D93-1E6A-4604-B09E-E922AFB4525D}" type="pres">
      <dgm:prSet presAssocID="{063ACC51-3B62-42D9-BD13-0BB6006795AD}" presName="composite" presStyleCnt="0"/>
      <dgm:spPr/>
    </dgm:pt>
    <dgm:pt modelId="{AA142722-8A08-4146-9F27-6867DA22DAF6}" type="pres">
      <dgm:prSet presAssocID="{063ACC51-3B62-42D9-BD13-0BB6006795AD}" presName="FirstChild" presStyleLbl="revTx" presStyleIdx="2" presStyleCnt="6" custLinFactNeighborX="1407" custLinFactNeighborY="-38740">
        <dgm:presLayoutVars>
          <dgm:chMax val="0"/>
          <dgm:chPref val="0"/>
          <dgm:bulletEnabled val="1"/>
        </dgm:presLayoutVars>
      </dgm:prSet>
      <dgm:spPr/>
    </dgm:pt>
    <dgm:pt modelId="{AA540283-6E9E-4FE8-AFFD-423FF8BD28CC}" type="pres">
      <dgm:prSet presAssocID="{063ACC51-3B62-42D9-BD13-0BB6006795AD}" presName="Parent" presStyleLbl="alignNode1" presStyleIdx="1" presStyleCnt="3" custScaleY="64817" custLinFactNeighborX="113" custLinFactNeighborY="-22198">
        <dgm:presLayoutVars>
          <dgm:chMax val="3"/>
          <dgm:chPref val="3"/>
          <dgm:bulletEnabled val="1"/>
        </dgm:presLayoutVars>
      </dgm:prSet>
      <dgm:spPr/>
    </dgm:pt>
    <dgm:pt modelId="{6ADFE273-8558-42DF-9BBF-29654C216006}" type="pres">
      <dgm:prSet presAssocID="{063ACC51-3B62-42D9-BD13-0BB6006795AD}" presName="Accent" presStyleLbl="parChTrans1D1" presStyleIdx="1" presStyleCnt="3" custLinFactY="-200000" custLinFactNeighborY="-200478"/>
      <dgm:spPr/>
    </dgm:pt>
    <dgm:pt modelId="{C3B867BB-3E75-44A4-9543-53B8BFB314CF}" type="pres">
      <dgm:prSet presAssocID="{063ACC51-3B62-42D9-BD13-0BB6006795AD}" presName="Child" presStyleLbl="revTx" presStyleIdx="3" presStyleCnt="6" custScaleY="161591" custLinFactY="-15464" custLinFactNeighborX="231" custLinFactNeighborY="-100000">
        <dgm:presLayoutVars>
          <dgm:chMax val="0"/>
          <dgm:chPref val="0"/>
          <dgm:bulletEnabled val="1"/>
        </dgm:presLayoutVars>
      </dgm:prSet>
      <dgm:spPr/>
    </dgm:pt>
    <dgm:pt modelId="{78DF7FEE-A613-4254-A11C-41450680AF02}" type="pres">
      <dgm:prSet presAssocID="{A96666DF-1398-4B90-929A-51C775F19F71}" presName="sibTrans" presStyleCnt="0"/>
      <dgm:spPr/>
    </dgm:pt>
    <dgm:pt modelId="{113E782B-C1C9-493E-9C66-924F62FF0E4C}" type="pres">
      <dgm:prSet presAssocID="{9B3A4D18-1883-4742-85C7-D8A8F05CB041}" presName="composite" presStyleCnt="0"/>
      <dgm:spPr/>
    </dgm:pt>
    <dgm:pt modelId="{A609F9CE-B714-4F84-880C-6C2897C7A615}" type="pres">
      <dgm:prSet presAssocID="{9B3A4D18-1883-4742-85C7-D8A8F05CB041}" presName="FirstChild" presStyleLbl="revTx" presStyleIdx="4" presStyleCnt="6" custLinFactNeighborX="-312" custLinFactNeighborY="-72180">
        <dgm:presLayoutVars>
          <dgm:chMax val="0"/>
          <dgm:chPref val="0"/>
          <dgm:bulletEnabled val="1"/>
        </dgm:presLayoutVars>
      </dgm:prSet>
      <dgm:spPr/>
    </dgm:pt>
    <dgm:pt modelId="{514A1A92-C88C-4B2E-AF92-0E0DC063C7D0}" type="pres">
      <dgm:prSet presAssocID="{9B3A4D18-1883-4742-85C7-D8A8F05CB041}" presName="Parent" presStyleLbl="alignNode1" presStyleIdx="2" presStyleCnt="3" custScaleY="64156" custLinFactNeighborX="557" custLinFactNeighborY="-53787">
        <dgm:presLayoutVars>
          <dgm:chMax val="3"/>
          <dgm:chPref val="3"/>
          <dgm:bulletEnabled val="1"/>
        </dgm:presLayoutVars>
      </dgm:prSet>
      <dgm:spPr/>
    </dgm:pt>
    <dgm:pt modelId="{04ACAB94-90DB-4AB0-BDBF-B5A7D69DBF2E}" type="pres">
      <dgm:prSet presAssocID="{9B3A4D18-1883-4742-85C7-D8A8F05CB041}" presName="Accent" presStyleLbl="parChTrans1D1" presStyleIdx="2" presStyleCnt="3" custLinFactY="-305556" custLinFactNeighborY="-400000"/>
      <dgm:spPr/>
    </dgm:pt>
    <dgm:pt modelId="{D69AB315-7B1D-4A73-BC99-3CC9ABD52B65}" type="pres">
      <dgm:prSet presAssocID="{9B3A4D18-1883-4742-85C7-D8A8F05CB041}" presName="Child" presStyleLbl="revTx" presStyleIdx="5" presStyleCnt="6" custLinFactNeighborY="-75278">
        <dgm:presLayoutVars>
          <dgm:chMax val="0"/>
          <dgm:chPref val="0"/>
          <dgm:bulletEnabled val="1"/>
        </dgm:presLayoutVars>
      </dgm:prSet>
      <dgm:spPr/>
    </dgm:pt>
  </dgm:ptLst>
  <dgm:cxnLst>
    <dgm:cxn modelId="{F7ED0301-D554-4EE7-BCE2-A6C41690BB7F}" type="presOf" srcId="{DAFCFA55-F094-45F2-A4DD-FC9E5AB70CF6}" destId="{A609F9CE-B714-4F84-880C-6C2897C7A615}" srcOrd="0" destOrd="0" presId="urn:microsoft.com/office/officeart/2011/layout/TabList"/>
    <dgm:cxn modelId="{912E860C-3E16-4714-82B3-D2CDEFD469A3}" srcId="{9B3A4D18-1883-4742-85C7-D8A8F05CB041}" destId="{B1D8C85D-0479-471F-ABC6-F9092C6D5864}" srcOrd="3" destOrd="0" parTransId="{3F316C1D-C284-478F-B9EB-342CC0FFCC22}" sibTransId="{97B690DE-F238-495C-BDFC-7372BE90182C}"/>
    <dgm:cxn modelId="{A3E06812-4C25-4006-9478-36DDDE6CBF57}" srcId="{063ACC51-3B62-42D9-BD13-0BB6006795AD}" destId="{DEF4BD4F-4304-4CF4-AD27-D0F9720419DF}" srcOrd="3" destOrd="0" parTransId="{771C5E1B-B288-42FC-BBB6-77B65C2EF54E}" sibTransId="{BCE1EB44-8711-4529-8D80-B079B827232F}"/>
    <dgm:cxn modelId="{13A2D212-6B8C-47F1-87C8-8C07CB1F1741}" type="presOf" srcId="{31B5C4A5-ED7E-44E3-ADC2-A2277AAD4BB9}" destId="{D69AB315-7B1D-4A73-BC99-3CC9ABD52B65}" srcOrd="0" destOrd="0" presId="urn:microsoft.com/office/officeart/2011/layout/TabList"/>
    <dgm:cxn modelId="{1210441A-A1BE-4A9C-94B2-9C8BDC9B77F9}" type="presOf" srcId="{2C08B6D5-AC90-4B0F-A1C8-95CBA7114296}" destId="{C32CF044-A2AA-4AA1-888D-4EF5CD99D909}" srcOrd="0" destOrd="0" presId="urn:microsoft.com/office/officeart/2011/layout/TabList"/>
    <dgm:cxn modelId="{16146735-70A4-4A1B-9583-FFAA8EB42DCC}" type="presOf" srcId="{2DCC1668-1EAA-4A92-BA6B-2F547126168D}" destId="{D69AB315-7B1D-4A73-BC99-3CC9ABD52B65}" srcOrd="0" destOrd="3" presId="urn:microsoft.com/office/officeart/2011/layout/TabList"/>
    <dgm:cxn modelId="{5430C036-BC7F-4155-9EC1-E799E996D3C8}" srcId="{9B3A4D18-1883-4742-85C7-D8A8F05CB041}" destId="{6488AD71-2323-4634-8275-3077F75174D9}" srcOrd="2" destOrd="0" parTransId="{6AC778E3-269C-4EF8-817C-F85F531D1930}" sibTransId="{4979111E-7DA5-438E-95FE-F424E447D662}"/>
    <dgm:cxn modelId="{9CFB173B-0198-4653-8395-F83CC864B889}" type="presOf" srcId="{A9265453-9347-4C2C-B59B-D51B538DE6B7}" destId="{C32CF044-A2AA-4AA1-888D-4EF5CD99D909}" srcOrd="0" destOrd="1" presId="urn:microsoft.com/office/officeart/2011/layout/TabList"/>
    <dgm:cxn modelId="{D3B88E3E-AF1E-407B-BF16-9057407EB2A4}" type="presOf" srcId="{A163D9B9-38BF-42DD-8AF9-6C5C81CB3FB2}" destId="{72A1EED3-2E47-4F22-B7A2-3E42028ED86F}" srcOrd="0" destOrd="0" presId="urn:microsoft.com/office/officeart/2011/layout/TabList"/>
    <dgm:cxn modelId="{2F505F5E-F1BC-4F84-8133-E30F78636832}" srcId="{62A4D022-1F58-4BAE-9BB4-6C8C8B035B93}" destId="{A9265453-9347-4C2C-B59B-D51B538DE6B7}" srcOrd="2" destOrd="0" parTransId="{7B102F15-7AAD-49AD-BD01-728028A0B552}" sibTransId="{77B47E52-100B-4B04-993B-05C0695AA958}"/>
    <dgm:cxn modelId="{D221895E-2DFF-478B-84C9-4C21352D7E37}" srcId="{063ACC51-3B62-42D9-BD13-0BB6006795AD}" destId="{678316A7-EC5C-4539-86BC-82ED0B1949E1}" srcOrd="0" destOrd="0" parTransId="{3C2B717A-4A96-440A-9E6B-05FDFFAB2EF0}" sibTransId="{33E6AA64-B10E-4623-B094-DA0304A88D0D}"/>
    <dgm:cxn modelId="{4F94B365-6661-4604-B95E-7A00E06B5461}" srcId="{9B3A4D18-1883-4742-85C7-D8A8F05CB041}" destId="{31B5C4A5-ED7E-44E3-ADC2-A2277AAD4BB9}" srcOrd="1" destOrd="0" parTransId="{DD7BDE9D-FE61-4B84-973B-99D73DBDCF59}" sibTransId="{12A04A7B-358D-4BAF-9B3D-F5F2CF7A47FB}"/>
    <dgm:cxn modelId="{2E5AEE46-AF6F-47EC-AD73-6863AFCAAF58}" srcId="{063ACC51-3B62-42D9-BD13-0BB6006795AD}" destId="{DFE6118F-0C8F-4DFF-BA67-871F07351B9A}" srcOrd="4" destOrd="0" parTransId="{1CCAC3D2-B4A1-4890-8452-5C05776B66CE}" sibTransId="{B2AFF426-A6E1-4D7C-8760-55B08CAEEAB4}"/>
    <dgm:cxn modelId="{55F8884B-5E7B-49B6-9A8D-3C11FA557A05}" srcId="{3984B472-3BE9-4AB5-BEA0-C36632FA7DF7}" destId="{063ACC51-3B62-42D9-BD13-0BB6006795AD}" srcOrd="1" destOrd="0" parTransId="{D5574DFE-9F94-4EB4-83F7-5F9D16526122}" sibTransId="{A96666DF-1398-4B90-929A-51C775F19F71}"/>
    <dgm:cxn modelId="{9332D56D-7046-4212-8407-BA2671922D10}" srcId="{9B3A4D18-1883-4742-85C7-D8A8F05CB041}" destId="{2DCC1668-1EAA-4A92-BA6B-2F547126168D}" srcOrd="4" destOrd="0" parTransId="{5840E1B3-215C-4DCC-8489-2552FB20585A}" sibTransId="{40D34AD6-6E96-4DEF-BFED-1932D4FA9EB3}"/>
    <dgm:cxn modelId="{5DE4E16D-19A8-49A1-B4E4-5CAA5D12C60C}" srcId="{62A4D022-1F58-4BAE-9BB4-6C8C8B035B93}" destId="{859EB1A3-47C1-40DC-BE39-1BFD506B3AE0}" srcOrd="4" destOrd="0" parTransId="{759DC4B6-3816-4A93-844B-2897C64AFE42}" sibTransId="{813B4547-4AB0-4C84-B442-F8FAF9C6C5B8}"/>
    <dgm:cxn modelId="{7A03A271-50B6-4BFF-A1B2-AC90958CC297}" type="presOf" srcId="{DFE6118F-0C8F-4DFF-BA67-871F07351B9A}" destId="{C3B867BB-3E75-44A4-9543-53B8BFB314CF}" srcOrd="0" destOrd="3" presId="urn:microsoft.com/office/officeart/2011/layout/TabList"/>
    <dgm:cxn modelId="{F7E17057-D358-44CF-A852-9F7910C50D82}" type="presOf" srcId="{6488AD71-2323-4634-8275-3077F75174D9}" destId="{D69AB315-7B1D-4A73-BC99-3CC9ABD52B65}" srcOrd="0" destOrd="1" presId="urn:microsoft.com/office/officeart/2011/layout/TabList"/>
    <dgm:cxn modelId="{0956B379-BF0B-47E3-9344-6C3D6315B35C}" type="presOf" srcId="{44C4C4D0-CCC7-4234-89CA-5248F9A09431}" destId="{C32CF044-A2AA-4AA1-888D-4EF5CD99D909}" srcOrd="0" destOrd="2" presId="urn:microsoft.com/office/officeart/2011/layout/TabList"/>
    <dgm:cxn modelId="{0B89808D-05FC-4834-9964-49659BE14326}" type="presOf" srcId="{9B3A4D18-1883-4742-85C7-D8A8F05CB041}" destId="{514A1A92-C88C-4B2E-AF92-0E0DC063C7D0}" srcOrd="0" destOrd="0" presId="urn:microsoft.com/office/officeart/2011/layout/TabList"/>
    <dgm:cxn modelId="{CB73F096-A4F4-4F45-A141-4000D8C311D6}" type="presOf" srcId="{859EB1A3-47C1-40DC-BE39-1BFD506B3AE0}" destId="{C32CF044-A2AA-4AA1-888D-4EF5CD99D909}" srcOrd="0" destOrd="3" presId="urn:microsoft.com/office/officeart/2011/layout/TabList"/>
    <dgm:cxn modelId="{035D529A-4399-4331-AE9E-DFDB34E70A8F}" type="presOf" srcId="{3984B472-3BE9-4AB5-BEA0-C36632FA7DF7}" destId="{5A758E5D-2454-4710-994D-20F4AFBA13B6}" srcOrd="0" destOrd="0" presId="urn:microsoft.com/office/officeart/2011/layout/TabList"/>
    <dgm:cxn modelId="{1C6012B0-B702-4DE0-880D-5C1D225B0425}" srcId="{9B3A4D18-1883-4742-85C7-D8A8F05CB041}" destId="{DAFCFA55-F094-45F2-A4DD-FC9E5AB70CF6}" srcOrd="0" destOrd="0" parTransId="{3095E375-4FDC-41CD-8237-C2BED4D96AE4}" sibTransId="{C333C5AE-5AB5-4DBE-A0D0-3FFA55C64482}"/>
    <dgm:cxn modelId="{92E671B3-C5B2-49CD-99F6-B62019C9D92C}" srcId="{3984B472-3BE9-4AB5-BEA0-C36632FA7DF7}" destId="{62A4D022-1F58-4BAE-9BB4-6C8C8B035B93}" srcOrd="0" destOrd="0" parTransId="{9D382165-CD27-499C-AD11-EEB15657044A}" sibTransId="{928D0DE8-6DA3-4FE7-8CC0-A7CCCB169AA0}"/>
    <dgm:cxn modelId="{AC3401BE-CE60-4678-8AE8-B62086AE1D3D}" type="presOf" srcId="{22A87D21-A54A-4B74-9A5F-912237768BB3}" destId="{C3B867BB-3E75-44A4-9543-53B8BFB314CF}" srcOrd="0" destOrd="1" presId="urn:microsoft.com/office/officeart/2011/layout/TabList"/>
    <dgm:cxn modelId="{C1EE92C8-86DF-45A7-9F9E-55286CAB72CE}" type="presOf" srcId="{B1D8C85D-0479-471F-ABC6-F9092C6D5864}" destId="{D69AB315-7B1D-4A73-BC99-3CC9ABD52B65}" srcOrd="0" destOrd="2" presId="urn:microsoft.com/office/officeart/2011/layout/TabList"/>
    <dgm:cxn modelId="{AE8DD0CD-E165-4923-9D8F-1B50751B326C}" srcId="{62A4D022-1F58-4BAE-9BB4-6C8C8B035B93}" destId="{44C4C4D0-CCC7-4234-89CA-5248F9A09431}" srcOrd="3" destOrd="0" parTransId="{17B7C963-9734-4BFA-A382-256372FB5C01}" sibTransId="{3B7FC8E4-09CC-452D-9C4A-F0565FD175AF}"/>
    <dgm:cxn modelId="{CD9427D4-CEBC-407F-A73F-6D295AD0892C}" type="presOf" srcId="{678316A7-EC5C-4539-86BC-82ED0B1949E1}" destId="{AA142722-8A08-4146-9F27-6867DA22DAF6}" srcOrd="0" destOrd="0" presId="urn:microsoft.com/office/officeart/2011/layout/TabList"/>
    <dgm:cxn modelId="{DF8D52D6-A68D-4FC3-94FD-9A07BD525066}" srcId="{62A4D022-1F58-4BAE-9BB4-6C8C8B035B93}" destId="{2C08B6D5-AC90-4B0F-A1C8-95CBA7114296}" srcOrd="1" destOrd="0" parTransId="{FEBAE85F-11F2-4B8E-A9E1-5DB19E9CB1D0}" sibTransId="{5D0F550D-28EA-4E12-95D9-CE546637974E}"/>
    <dgm:cxn modelId="{7975BFDA-2852-4431-BFFE-E87C095FE975}" srcId="{62A4D022-1F58-4BAE-9BB4-6C8C8B035B93}" destId="{A163D9B9-38BF-42DD-8AF9-6C5C81CB3FB2}" srcOrd="0" destOrd="0" parTransId="{E75468E9-3617-410D-85EA-91A8EF997058}" sibTransId="{8856A437-AE02-4DF8-A2D2-0B6547B8ABF1}"/>
    <dgm:cxn modelId="{43F15AE0-7D1A-4BB5-AB1E-F8EADC887CCB}" type="presOf" srcId="{E86F8857-F1E0-4359-A6D5-0D833F1CCF0D}" destId="{C3B867BB-3E75-44A4-9543-53B8BFB314CF}" srcOrd="0" destOrd="0" presId="urn:microsoft.com/office/officeart/2011/layout/TabList"/>
    <dgm:cxn modelId="{800029E1-8606-4227-B31E-CD49F7144E95}" srcId="{3984B472-3BE9-4AB5-BEA0-C36632FA7DF7}" destId="{9B3A4D18-1883-4742-85C7-D8A8F05CB041}" srcOrd="2" destOrd="0" parTransId="{B4A22890-3D48-4873-9C02-028C9D05B8D9}" sibTransId="{194E8EAA-2DB5-4E07-A8AA-3EE3AE91BA21}"/>
    <dgm:cxn modelId="{448127E4-A02A-4A06-8622-11AD06C09E32}" srcId="{063ACC51-3B62-42D9-BD13-0BB6006795AD}" destId="{E86F8857-F1E0-4359-A6D5-0D833F1CCF0D}" srcOrd="1" destOrd="0" parTransId="{111873A1-85E6-4EC5-8813-C76F19C338EA}" sibTransId="{26CA990D-2FE0-45B6-AF3A-BA5500DD1523}"/>
    <dgm:cxn modelId="{5C77F7EB-A70A-48CE-A893-970F83D77B5E}" type="presOf" srcId="{063ACC51-3B62-42D9-BD13-0BB6006795AD}" destId="{AA540283-6E9E-4FE8-AFFD-423FF8BD28CC}" srcOrd="0" destOrd="0" presId="urn:microsoft.com/office/officeart/2011/layout/TabList"/>
    <dgm:cxn modelId="{6620FEEB-9E18-4C62-A7A8-1F2F614A0358}" srcId="{063ACC51-3B62-42D9-BD13-0BB6006795AD}" destId="{22A87D21-A54A-4B74-9A5F-912237768BB3}" srcOrd="2" destOrd="0" parTransId="{81B79BE4-D17A-4256-95B6-6F4BE2E32B39}" sibTransId="{CE56DC6A-CD44-40D3-875B-6D86B7ED811B}"/>
    <dgm:cxn modelId="{1CB256F4-3C2F-43A2-B704-44FBEE4E8056}" type="presOf" srcId="{62A4D022-1F58-4BAE-9BB4-6C8C8B035B93}" destId="{7C8EA884-C05D-4482-B4A9-2F488A7562E0}" srcOrd="0" destOrd="0" presId="urn:microsoft.com/office/officeart/2011/layout/TabList"/>
    <dgm:cxn modelId="{CC620AF7-4AF4-41E7-884A-C3A21FAA8E04}" type="presOf" srcId="{DEF4BD4F-4304-4CF4-AD27-D0F9720419DF}" destId="{C3B867BB-3E75-44A4-9543-53B8BFB314CF}" srcOrd="0" destOrd="2" presId="urn:microsoft.com/office/officeart/2011/layout/TabList"/>
    <dgm:cxn modelId="{9041AEDE-C092-40DB-BEB9-07332F355690}" type="presParOf" srcId="{5A758E5D-2454-4710-994D-20F4AFBA13B6}" destId="{7E5A2C57-6A90-4583-AE51-65CC00B414EB}" srcOrd="0" destOrd="0" presId="urn:microsoft.com/office/officeart/2011/layout/TabList"/>
    <dgm:cxn modelId="{1E46F714-C293-4A33-92D2-F30598F33F92}" type="presParOf" srcId="{7E5A2C57-6A90-4583-AE51-65CC00B414EB}" destId="{72A1EED3-2E47-4F22-B7A2-3E42028ED86F}" srcOrd="0" destOrd="0" presId="urn:microsoft.com/office/officeart/2011/layout/TabList"/>
    <dgm:cxn modelId="{05EB33D6-75C9-4C7F-8921-F4121B24214F}" type="presParOf" srcId="{7E5A2C57-6A90-4583-AE51-65CC00B414EB}" destId="{7C8EA884-C05D-4482-B4A9-2F488A7562E0}" srcOrd="1" destOrd="0" presId="urn:microsoft.com/office/officeart/2011/layout/TabList"/>
    <dgm:cxn modelId="{3F1B76C7-FA68-4AE1-AF3E-A2876F8D7C77}" type="presParOf" srcId="{7E5A2C57-6A90-4583-AE51-65CC00B414EB}" destId="{89EB8578-94F1-428B-A51B-71A085E4169A}" srcOrd="2" destOrd="0" presId="urn:microsoft.com/office/officeart/2011/layout/TabList"/>
    <dgm:cxn modelId="{0DEBC3AB-CEA3-47CA-BBE7-06546D8D165A}" type="presParOf" srcId="{5A758E5D-2454-4710-994D-20F4AFBA13B6}" destId="{C32CF044-A2AA-4AA1-888D-4EF5CD99D909}" srcOrd="1" destOrd="0" presId="urn:microsoft.com/office/officeart/2011/layout/TabList"/>
    <dgm:cxn modelId="{8DC5DC10-7F56-4BFE-942A-F1A46B4A64BA}" type="presParOf" srcId="{5A758E5D-2454-4710-994D-20F4AFBA13B6}" destId="{A2E14A16-E074-4657-9C8C-466305B86FCD}" srcOrd="2" destOrd="0" presId="urn:microsoft.com/office/officeart/2011/layout/TabList"/>
    <dgm:cxn modelId="{3183EDF7-04C9-43FE-ABCC-B5BE6BC7B228}" type="presParOf" srcId="{5A758E5D-2454-4710-994D-20F4AFBA13B6}" destId="{0DD23D93-1E6A-4604-B09E-E922AFB4525D}" srcOrd="3" destOrd="0" presId="urn:microsoft.com/office/officeart/2011/layout/TabList"/>
    <dgm:cxn modelId="{0B9C2D6E-60C2-4AFC-B1FF-EA83EADB041A}" type="presParOf" srcId="{0DD23D93-1E6A-4604-B09E-E922AFB4525D}" destId="{AA142722-8A08-4146-9F27-6867DA22DAF6}" srcOrd="0" destOrd="0" presId="urn:microsoft.com/office/officeart/2011/layout/TabList"/>
    <dgm:cxn modelId="{E01EE353-001A-4BBD-87E6-F62220E5DBB1}" type="presParOf" srcId="{0DD23D93-1E6A-4604-B09E-E922AFB4525D}" destId="{AA540283-6E9E-4FE8-AFFD-423FF8BD28CC}" srcOrd="1" destOrd="0" presId="urn:microsoft.com/office/officeart/2011/layout/TabList"/>
    <dgm:cxn modelId="{6A222B33-C037-47B6-A190-D1FBE6D4109A}" type="presParOf" srcId="{0DD23D93-1E6A-4604-B09E-E922AFB4525D}" destId="{6ADFE273-8558-42DF-9BBF-29654C216006}" srcOrd="2" destOrd="0" presId="urn:microsoft.com/office/officeart/2011/layout/TabList"/>
    <dgm:cxn modelId="{C929AF10-DA29-4C65-9B34-49AA7A429488}" type="presParOf" srcId="{5A758E5D-2454-4710-994D-20F4AFBA13B6}" destId="{C3B867BB-3E75-44A4-9543-53B8BFB314CF}" srcOrd="4" destOrd="0" presId="urn:microsoft.com/office/officeart/2011/layout/TabList"/>
    <dgm:cxn modelId="{8F672CD2-9FB9-4976-A445-503C5E03AA52}" type="presParOf" srcId="{5A758E5D-2454-4710-994D-20F4AFBA13B6}" destId="{78DF7FEE-A613-4254-A11C-41450680AF02}" srcOrd="5" destOrd="0" presId="urn:microsoft.com/office/officeart/2011/layout/TabList"/>
    <dgm:cxn modelId="{01466623-1B90-4A5F-A839-9FA9720687DE}" type="presParOf" srcId="{5A758E5D-2454-4710-994D-20F4AFBA13B6}" destId="{113E782B-C1C9-493E-9C66-924F62FF0E4C}" srcOrd="6" destOrd="0" presId="urn:microsoft.com/office/officeart/2011/layout/TabList"/>
    <dgm:cxn modelId="{55375D98-292A-452B-B370-4D36F179E91C}" type="presParOf" srcId="{113E782B-C1C9-493E-9C66-924F62FF0E4C}" destId="{A609F9CE-B714-4F84-880C-6C2897C7A615}" srcOrd="0" destOrd="0" presId="urn:microsoft.com/office/officeart/2011/layout/TabList"/>
    <dgm:cxn modelId="{B322BB85-0090-465D-AD59-8A7FF8F54D77}" type="presParOf" srcId="{113E782B-C1C9-493E-9C66-924F62FF0E4C}" destId="{514A1A92-C88C-4B2E-AF92-0E0DC063C7D0}" srcOrd="1" destOrd="0" presId="urn:microsoft.com/office/officeart/2011/layout/TabList"/>
    <dgm:cxn modelId="{A9AFB519-8B72-427D-9612-DE64F9115D43}" type="presParOf" srcId="{113E782B-C1C9-493E-9C66-924F62FF0E4C}" destId="{04ACAB94-90DB-4AB0-BDBF-B5A7D69DBF2E}" srcOrd="2" destOrd="0" presId="urn:microsoft.com/office/officeart/2011/layout/TabList"/>
    <dgm:cxn modelId="{ED8DCDCA-16D2-4E3D-8AAF-C42FAA346618}" type="presParOf" srcId="{5A758E5D-2454-4710-994D-20F4AFBA13B6}" destId="{D69AB315-7B1D-4A73-BC99-3CC9ABD52B65}" srcOrd="7" destOrd="0" presId="urn:microsoft.com/office/officeart/2011/layout/TabList"/>
  </dgm:cxn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ACAB94-90DB-4AB0-BDBF-B5A7D69DBF2E}">
      <dsp:nvSpPr>
        <dsp:cNvPr id="0" name=""/>
        <dsp:cNvSpPr/>
      </dsp:nvSpPr>
      <dsp:spPr>
        <a:xfrm>
          <a:off x="0" y="3386637"/>
          <a:ext cx="548767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E273-8558-42DF-9BBF-29654C216006}">
      <dsp:nvSpPr>
        <dsp:cNvPr id="0" name=""/>
        <dsp:cNvSpPr/>
      </dsp:nvSpPr>
      <dsp:spPr>
        <a:xfrm>
          <a:off x="0" y="2027197"/>
          <a:ext cx="548767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B8578-94F1-428B-A51B-71A085E4169A}">
      <dsp:nvSpPr>
        <dsp:cNvPr id="0" name=""/>
        <dsp:cNvSpPr/>
      </dsp:nvSpPr>
      <dsp:spPr>
        <a:xfrm>
          <a:off x="0" y="345173"/>
          <a:ext cx="548767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A1EED3-2E47-4F22-B7A2-3E42028ED86F}">
      <dsp:nvSpPr>
        <dsp:cNvPr id="0" name=""/>
        <dsp:cNvSpPr/>
      </dsp:nvSpPr>
      <dsp:spPr>
        <a:xfrm>
          <a:off x="1426794" y="2071"/>
          <a:ext cx="4060875" cy="3431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GB" sz="1000" b="1" kern="1200"/>
            <a:t> Responsibility: Chief Executive Officer (CEO)</a:t>
          </a:r>
        </a:p>
      </dsp:txBody>
      <dsp:txXfrm>
        <a:off x="1426794" y="2071"/>
        <a:ext cx="4060875" cy="343102"/>
      </dsp:txXfrm>
    </dsp:sp>
    <dsp:sp modelId="{7C8EA884-C05D-4482-B4A9-2F488A7562E0}">
      <dsp:nvSpPr>
        <dsp:cNvPr id="0" name=""/>
        <dsp:cNvSpPr/>
      </dsp:nvSpPr>
      <dsp:spPr>
        <a:xfrm>
          <a:off x="8018" y="122270"/>
          <a:ext cx="1426794" cy="228910"/>
        </a:xfrm>
        <a:prstGeom prst="round2SameRect">
          <a:avLst>
            <a:gd name="adj1" fmla="val 16670"/>
            <a:gd name="adj2" fmla="val 0"/>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First line of Defence</a:t>
          </a:r>
        </a:p>
      </dsp:txBody>
      <dsp:txXfrm>
        <a:off x="19194" y="133446"/>
        <a:ext cx="1404442" cy="217734"/>
      </dsp:txXfrm>
    </dsp:sp>
    <dsp:sp modelId="{C32CF044-A2AA-4AA1-888D-4EF5CD99D909}">
      <dsp:nvSpPr>
        <dsp:cNvPr id="0" name=""/>
        <dsp:cNvSpPr/>
      </dsp:nvSpPr>
      <dsp:spPr>
        <a:xfrm>
          <a:off x="0" y="345173"/>
          <a:ext cx="5487670" cy="14659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just" defTabSz="400050">
            <a:lnSpc>
              <a:spcPct val="90000"/>
            </a:lnSpc>
            <a:spcBef>
              <a:spcPct val="0"/>
            </a:spcBef>
            <a:spcAft>
              <a:spcPct val="15000"/>
            </a:spcAft>
            <a:buChar char="•"/>
          </a:pPr>
          <a:endParaRPr lang="en-GB" sz="900" kern="1200"/>
        </a:p>
        <a:p>
          <a:pPr marL="57150" lvl="1" indent="-57150" algn="just" defTabSz="444500">
            <a:lnSpc>
              <a:spcPct val="90000"/>
            </a:lnSpc>
            <a:spcBef>
              <a:spcPct val="0"/>
            </a:spcBef>
            <a:spcAft>
              <a:spcPct val="15000"/>
            </a:spcAft>
            <a:buChar char="•"/>
          </a:pPr>
          <a:r>
            <a:rPr lang="en-GB" sz="1000" kern="1200">
              <a:latin typeface="Museo Sans 300" panose="02000000000000000000" pitchFamily="2" charset="0"/>
            </a:rPr>
            <a:t>The first line risk function undertakes an active role in maintaining and improving internal control frameworks, remediating weaknesses in operational processes, and supporting business areas in the implementation of the Bank’s key risk management processes.</a:t>
          </a:r>
        </a:p>
        <a:p>
          <a:pPr marL="57150" lvl="1" indent="-57150" algn="just" defTabSz="444500">
            <a:lnSpc>
              <a:spcPct val="90000"/>
            </a:lnSpc>
            <a:spcBef>
              <a:spcPct val="0"/>
            </a:spcBef>
            <a:spcAft>
              <a:spcPct val="15000"/>
            </a:spcAft>
            <a:buChar char="•"/>
          </a:pPr>
          <a:endParaRPr lang="en-GB" sz="1000" kern="1200">
            <a:latin typeface="Museo Sans 300" panose="02000000000000000000" pitchFamily="2" charset="0"/>
          </a:endParaRPr>
        </a:p>
        <a:p>
          <a:pPr marL="57150" lvl="1" indent="-57150" algn="just" defTabSz="444500">
            <a:lnSpc>
              <a:spcPct val="90000"/>
            </a:lnSpc>
            <a:spcBef>
              <a:spcPct val="0"/>
            </a:spcBef>
            <a:spcAft>
              <a:spcPct val="15000"/>
            </a:spcAft>
            <a:buChar char="•"/>
          </a:pPr>
          <a:r>
            <a:rPr lang="en-GB" sz="1000" kern="1200">
              <a:latin typeface="Museo Sans 300" panose="02000000000000000000" pitchFamily="2" charset="0"/>
            </a:rPr>
            <a:t> The CEO, Executives and their teams are responsible for managing risk on a day-to-day basis, including identification of risks as they emerge, evaluating and reporting them and ensuring that the Bank operates within risk appetite. In support of this, a dedicated first line risk function is in place to provide risk management expertise within an operational setting.</a:t>
          </a:r>
        </a:p>
      </dsp:txBody>
      <dsp:txXfrm>
        <a:off x="0" y="345173"/>
        <a:ext cx="5487670" cy="1465938"/>
      </dsp:txXfrm>
    </dsp:sp>
    <dsp:sp modelId="{AA142722-8A08-4146-9F27-6867DA22DAF6}">
      <dsp:nvSpPr>
        <dsp:cNvPr id="0" name=""/>
        <dsp:cNvSpPr/>
      </dsp:nvSpPr>
      <dsp:spPr>
        <a:xfrm>
          <a:off x="1426794" y="1695349"/>
          <a:ext cx="4060875" cy="3431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GB" sz="1000" b="1" kern="1200"/>
            <a:t>  Responsibility: Chief Risk Officer (CRO)</a:t>
          </a:r>
        </a:p>
      </dsp:txBody>
      <dsp:txXfrm>
        <a:off x="1426794" y="1695349"/>
        <a:ext cx="4060875" cy="343102"/>
      </dsp:txXfrm>
    </dsp:sp>
    <dsp:sp modelId="{AA540283-6E9E-4FE8-AFFD-423FF8BD28CC}">
      <dsp:nvSpPr>
        <dsp:cNvPr id="0" name=""/>
        <dsp:cNvSpPr/>
      </dsp:nvSpPr>
      <dsp:spPr>
        <a:xfrm>
          <a:off x="1612" y="1812462"/>
          <a:ext cx="1426794" cy="222388"/>
        </a:xfrm>
        <a:prstGeom prst="round2SameRect">
          <a:avLst>
            <a:gd name="adj1" fmla="val 16670"/>
            <a:gd name="adj2" fmla="val 0"/>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Second line of Defence</a:t>
          </a:r>
        </a:p>
      </dsp:txBody>
      <dsp:txXfrm>
        <a:off x="12470" y="1823320"/>
        <a:ext cx="1405078" cy="211530"/>
      </dsp:txXfrm>
    </dsp:sp>
    <dsp:sp modelId="{C3B867BB-3E75-44A4-9543-53B8BFB314CF}">
      <dsp:nvSpPr>
        <dsp:cNvPr id="0" name=""/>
        <dsp:cNvSpPr/>
      </dsp:nvSpPr>
      <dsp:spPr>
        <a:xfrm>
          <a:off x="0" y="2048083"/>
          <a:ext cx="5487670" cy="11090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just" defTabSz="400050">
            <a:lnSpc>
              <a:spcPct val="90000"/>
            </a:lnSpc>
            <a:spcBef>
              <a:spcPct val="0"/>
            </a:spcBef>
            <a:spcAft>
              <a:spcPct val="15000"/>
            </a:spcAft>
            <a:buChar char="•"/>
          </a:pPr>
          <a:endParaRPr lang="en-GB" sz="900" kern="1200"/>
        </a:p>
        <a:p>
          <a:pPr marL="57150" lvl="1" indent="-57150" algn="just" defTabSz="400050">
            <a:lnSpc>
              <a:spcPct val="90000"/>
            </a:lnSpc>
            <a:spcBef>
              <a:spcPct val="0"/>
            </a:spcBef>
            <a:spcAft>
              <a:spcPct val="15000"/>
            </a:spcAft>
            <a:buChar char="•"/>
          </a:pPr>
          <a:r>
            <a:rPr lang="en-GB" sz="900" kern="1200"/>
            <a:t> </a:t>
          </a:r>
          <a:r>
            <a:rPr lang="en-GB" sz="1000" kern="1200">
              <a:latin typeface="Museo Sans 300" panose="02000000000000000000" pitchFamily="2" charset="0"/>
            </a:rPr>
            <a:t>A key role of second line is to provide an independent view to management and the Board of the risks within the Bank.</a:t>
          </a:r>
        </a:p>
        <a:p>
          <a:pPr marL="57150" lvl="1" indent="-57150" algn="just" defTabSz="444500">
            <a:lnSpc>
              <a:spcPct val="90000"/>
            </a:lnSpc>
            <a:spcBef>
              <a:spcPct val="0"/>
            </a:spcBef>
            <a:spcAft>
              <a:spcPct val="15000"/>
            </a:spcAft>
            <a:buChar char="•"/>
          </a:pPr>
          <a:endParaRPr lang="en-GB" sz="1000" kern="1200">
            <a:latin typeface="Museo Sans 300" panose="02000000000000000000" pitchFamily="2" charset="0"/>
          </a:endParaRPr>
        </a:p>
        <a:p>
          <a:pPr marL="57150" lvl="1" indent="-57150" algn="just" defTabSz="444500">
            <a:lnSpc>
              <a:spcPct val="90000"/>
            </a:lnSpc>
            <a:spcBef>
              <a:spcPct val="0"/>
            </a:spcBef>
            <a:spcAft>
              <a:spcPct val="15000"/>
            </a:spcAft>
            <a:buChar char="•"/>
          </a:pPr>
          <a:r>
            <a:rPr lang="en-GB" sz="1000" kern="1200">
              <a:latin typeface="Museo Sans 300" panose="02000000000000000000" pitchFamily="2" charset="0"/>
            </a:rPr>
            <a:t> The CRO is independently responsible for managing, designing, and continually updating the Enterprise Risk Management Framework and risk assessment and evaluation tools and systems, providing training, review, and challenge to the first line.</a:t>
          </a:r>
        </a:p>
      </dsp:txBody>
      <dsp:txXfrm>
        <a:off x="0" y="2048083"/>
        <a:ext cx="5487670" cy="1109010"/>
      </dsp:txXfrm>
    </dsp:sp>
    <dsp:sp modelId="{A609F9CE-B714-4F84-880C-6C2897C7A615}">
      <dsp:nvSpPr>
        <dsp:cNvPr id="0" name=""/>
        <dsp:cNvSpPr/>
      </dsp:nvSpPr>
      <dsp:spPr>
        <a:xfrm>
          <a:off x="1414124" y="3049884"/>
          <a:ext cx="4060875" cy="3431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GB" sz="1000" b="1" kern="1200"/>
            <a:t>  Responsibility: Internal audit - outsourced to Deloitte</a:t>
          </a:r>
        </a:p>
      </dsp:txBody>
      <dsp:txXfrm>
        <a:off x="1414124" y="3049884"/>
        <a:ext cx="4060875" cy="343102"/>
      </dsp:txXfrm>
    </dsp:sp>
    <dsp:sp modelId="{514A1A92-C88C-4B2E-AF92-0E0DC063C7D0}">
      <dsp:nvSpPr>
        <dsp:cNvPr id="0" name=""/>
        <dsp:cNvSpPr/>
      </dsp:nvSpPr>
      <dsp:spPr>
        <a:xfrm>
          <a:off x="7947" y="3174481"/>
          <a:ext cx="1426794" cy="220120"/>
        </a:xfrm>
        <a:prstGeom prst="round2SameRect">
          <a:avLst>
            <a:gd name="adj1" fmla="val 16670"/>
            <a:gd name="adj2" fmla="val 0"/>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Third line of Defence</a:t>
          </a:r>
        </a:p>
      </dsp:txBody>
      <dsp:txXfrm>
        <a:off x="18694" y="3185228"/>
        <a:ext cx="1405300" cy="209373"/>
      </dsp:txXfrm>
    </dsp:sp>
    <dsp:sp modelId="{D69AB315-7B1D-4A73-BC99-3CC9ABD52B65}">
      <dsp:nvSpPr>
        <dsp:cNvPr id="0" name=""/>
        <dsp:cNvSpPr/>
      </dsp:nvSpPr>
      <dsp:spPr>
        <a:xfrm>
          <a:off x="0" y="3382357"/>
          <a:ext cx="5487670" cy="686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just" defTabSz="444500">
            <a:lnSpc>
              <a:spcPct val="90000"/>
            </a:lnSpc>
            <a:spcBef>
              <a:spcPct val="0"/>
            </a:spcBef>
            <a:spcAft>
              <a:spcPct val="15000"/>
            </a:spcAft>
            <a:buChar char="•"/>
          </a:pPr>
          <a:endParaRPr lang="en-GB" sz="1000" kern="1200">
            <a:latin typeface="Museo Sans 300" panose="02000000000000000000" pitchFamily="2" charset="0"/>
          </a:endParaRPr>
        </a:p>
        <a:p>
          <a:pPr marL="57150" lvl="1" indent="-57150" algn="just" defTabSz="444500">
            <a:lnSpc>
              <a:spcPct val="90000"/>
            </a:lnSpc>
            <a:spcBef>
              <a:spcPct val="0"/>
            </a:spcBef>
            <a:spcAft>
              <a:spcPct val="15000"/>
            </a:spcAft>
            <a:buChar char="•"/>
          </a:pPr>
          <a:r>
            <a:rPr lang="en-GB" sz="1000" kern="1200">
              <a:latin typeface="Museo Sans 300" panose="02000000000000000000" pitchFamily="2" charset="0"/>
            </a:rPr>
            <a:t> Internal Audit is responsible for providing independent assurance that the Enterprise Risk Management Framework, including its operation by the first and second lines, is operating effectively.</a:t>
          </a:r>
        </a:p>
        <a:p>
          <a:pPr marL="57150" lvl="1" indent="-57150" algn="just" defTabSz="444500">
            <a:lnSpc>
              <a:spcPct val="90000"/>
            </a:lnSpc>
            <a:spcBef>
              <a:spcPct val="0"/>
            </a:spcBef>
            <a:spcAft>
              <a:spcPct val="15000"/>
            </a:spcAft>
            <a:buChar char="•"/>
          </a:pPr>
          <a:endParaRPr lang="en-GB" sz="1000" kern="1200">
            <a:latin typeface="Museo Sans 300" panose="02000000000000000000" pitchFamily="2" charset="0"/>
          </a:endParaRPr>
        </a:p>
        <a:p>
          <a:pPr marL="57150" lvl="1" indent="-57150" algn="just" defTabSz="444500">
            <a:lnSpc>
              <a:spcPct val="90000"/>
            </a:lnSpc>
            <a:spcBef>
              <a:spcPct val="0"/>
            </a:spcBef>
            <a:spcAft>
              <a:spcPct val="15000"/>
            </a:spcAft>
            <a:buChar char="•"/>
          </a:pPr>
          <a:r>
            <a:rPr lang="en-GB" sz="1000" kern="1200">
              <a:latin typeface="Museo Sans 300" panose="02000000000000000000" pitchFamily="2" charset="0"/>
            </a:rPr>
            <a:t> Under the supervision of the Chief Risk Officer and Chief Financial Officer, reporting to the Bank’s Audit Committee</a:t>
          </a:r>
          <a:r>
            <a:rPr lang="en-GB" sz="900" kern="1200"/>
            <a:t>. </a:t>
          </a:r>
        </a:p>
      </dsp:txBody>
      <dsp:txXfrm>
        <a:off x="0" y="3382357"/>
        <a:ext cx="5487670" cy="686307"/>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BB6F-6E23-4133-9337-942045A2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9630</Words>
  <Characters>54894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Cambridge and Counties Bank</Company>
  <LinksUpToDate>false</LinksUpToDate>
  <CharactersWithSpaces>64396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Srikumar</dc:creator>
  <cp:keywords/>
  <dc:description/>
  <cp:lastModifiedBy>Veena Srikumar</cp:lastModifiedBy>
  <cp:revision>6</cp:revision>
  <cp:lastPrinted>2024-03-20T09:39:00Z</cp:lastPrinted>
  <dcterms:created xsi:type="dcterms:W3CDTF">2024-04-29T09:40:00Z</dcterms:created>
  <dcterms:modified xsi:type="dcterms:W3CDTF">2024-05-15T13:46:00Z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b1847b-fe0b-4c05-a357-cae0b228ba22_Enabled">
    <vt:lpwstr>true</vt:lpwstr>
  </property>
  <property fmtid="{D5CDD505-2E9C-101B-9397-08002B2CF9AE}" pid="3" name="MSIP_Label_46b1847b-fe0b-4c05-a357-cae0b228ba22_SetDate">
    <vt:lpwstr>2023-04-28T14:15:50Z</vt:lpwstr>
  </property>
  <property fmtid="{D5CDD505-2E9C-101B-9397-08002B2CF9AE}" pid="4" name="MSIP_Label_46b1847b-fe0b-4c05-a357-cae0b228ba22_Method">
    <vt:lpwstr>Standard</vt:lpwstr>
  </property>
  <property fmtid="{D5CDD505-2E9C-101B-9397-08002B2CF9AE}" pid="5" name="MSIP_Label_46b1847b-fe0b-4c05-a357-cae0b228ba22_Name">
    <vt:lpwstr>CCB - Internal - Commercially Sensitive</vt:lpwstr>
  </property>
  <property fmtid="{D5CDD505-2E9C-101B-9397-08002B2CF9AE}" pid="6" name="MSIP_Label_46b1847b-fe0b-4c05-a357-cae0b228ba22_SiteId">
    <vt:lpwstr>70116d10-f4d6-4ab7-a0ac-123f823d5985</vt:lpwstr>
  </property>
  <property fmtid="{D5CDD505-2E9C-101B-9397-08002B2CF9AE}" pid="7" name="MSIP_Label_46b1847b-fe0b-4c05-a357-cae0b228ba22_ActionId">
    <vt:lpwstr>80c47a88-2cb5-4113-b15d-edbdd319c385</vt:lpwstr>
  </property>
  <property fmtid="{D5CDD505-2E9C-101B-9397-08002B2CF9AE}" pid="8" name="MSIP_Label_46b1847b-fe0b-4c05-a357-cae0b228ba22_ContentBits">
    <vt:lpwstr>2</vt:lpwstr>
  </property>
</Properties>
</file>